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6"/>
        </w:rPr>
        <w:t>IUSAF Allocation by UN Region and Sub-Region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Fund size: USD 1,000 M  |  State/IPLC split: 50/50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 Region</w:t>
            </w:r>
          </w:p>
        </w:tc>
        <w:tc>
          <w:tcPr>
            <w:tcW w:type="dxa" w:w="198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 Sub-Region</w:t>
            </w:r>
          </w:p>
        </w:tc>
        <w:tc>
          <w:tcPr>
            <w:tcW w:type="dxa" w:w="124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Countries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Allocation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State Component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IPLC Component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Africa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54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394.15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197.07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197.07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Sub-Saharan Africa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356.35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178.18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178.18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Northern Africa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37.79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18.90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18.90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Americas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29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194.37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97.19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97.19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Latin America and the Caribbean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194.37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97.19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97.19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Asia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37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239.84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119.92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119.92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Western Asia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67.63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33.82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33.82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South-eastern Asia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63.09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31.54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31.54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Southern Asia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59.39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29.70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29.70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Central Asia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32.68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16.34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16.34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Eastern Asia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17.05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8.53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8.53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Europe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54.56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27.28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27.28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Southern Europe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34.67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17.33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17.33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Eastern Europe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19.89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9.95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9.95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Oceania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117.08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58.54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58.54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Polynesia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42.63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21.31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21.31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Micronesia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42.63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21.31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21.31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Melanesia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31.83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15.91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15.91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1,000.00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500.00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