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rPr>
          <w:rFonts w:ascii="Times New Roman" w:hAnsi="Times New Roman"/>
          <w:sz w:val="26"/>
        </w:rPr>
        <w:t>IUSAF Allocation by UN Intermediate Region (Organised by UN Region)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Fund size: USD 1,000 M  |  State/IPLC split: 50/50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 Region</w:t>
            </w:r>
          </w:p>
        </w:tc>
        <w:tc>
          <w:tcPr>
            <w:tcW w:type="dxa" w:w="198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Intermediate Region</w:t>
            </w:r>
          </w:p>
        </w:tc>
        <w:tc>
          <w:tcPr>
            <w:tcW w:type="dxa" w:w="1247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Countries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Allocation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State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  <w:tc>
          <w:tcPr>
            <w:tcW w:type="dxa" w:w="1814"/>
            <w:shd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IPLC Component</w:t>
            </w:r>
            <w:r>
              <w:br/>
            </w:r>
            <w:r>
              <w:rPr>
                <w:rFonts w:ascii="Times New Roman" w:hAnsi="Times New Roman"/>
                <w:b/>
                <w:sz w:val="20"/>
              </w:rPr>
              <w:t>(USD M)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Africa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394.15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197.07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197.07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Eastern Africa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135.27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67.63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67.63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Western Africa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119.64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59.82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59.82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Middle Africa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66.50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33.25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33.25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Northern Africa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37.79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18.90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18.90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Southern Africa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34.95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17.48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17.48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Americas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29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194.37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97.19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97.19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Caribbean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95.20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47.60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47.60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South America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59.11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29.55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29.55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Central America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40.07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20.03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20.03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Asia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37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239.84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119.92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119.92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All sub-regions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239.84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119.92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119.92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Europe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54.56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27.28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27.28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All sub-regions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54.56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27.28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27.28</w:t>
            </w:r>
          </w:p>
        </w:tc>
      </w:tr>
      <w:tr>
        <w:tc>
          <w:tcPr>
            <w:tcW w:type="dxa" w:w="1587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Oceania</w:t>
            </w:r>
          </w:p>
        </w:tc>
        <w:tc>
          <w:tcPr>
            <w:tcW w:type="dxa" w:w="1984"/>
            <w:shd w:fill="E8E8E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117.08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58.54</w:t>
            </w:r>
          </w:p>
        </w:tc>
        <w:tc>
          <w:tcPr>
            <w:tcW w:type="dxa" w:w="1814"/>
            <w:shd w:fill="E8E8E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58.54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All sub-regions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117.08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58.54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58.54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1,000.00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500.00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