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69D13" w14:textId="77777777" w:rsidR="007B1A36" w:rsidRDefault="00000000">
      <w:pPr>
        <w:pStyle w:val="Heading1"/>
      </w:pPr>
      <w:r>
        <w:t>Cali Fund Allocation Model: Logic and Rationale</w:t>
      </w:r>
    </w:p>
    <w:p w14:paraId="5D74B67F" w14:textId="77777777" w:rsidR="007B1A36" w:rsidRDefault="00000000">
      <w:pPr>
        <w:pStyle w:val="Heading2"/>
      </w:pPr>
      <w:r>
        <w:t>Starting Point: The Inverted UN Scale</w:t>
      </w:r>
    </w:p>
    <w:p w14:paraId="618A02BF" w14:textId="77777777" w:rsidR="007B1A36" w:rsidRDefault="00000000">
      <w:r>
        <w:t>1) The model begins with the UN Scale of Assessments, which is an internationally agreed measure of relative economic capacity.</w:t>
      </w:r>
      <w:r>
        <w:br/>
        <w:t>2) The scale is inverted so that a system originally designed to determine contributions becomes a baseline for allocation.</w:t>
      </w:r>
      <w:r>
        <w:br/>
        <w:t>3) This approach provides legitimacy, predictability, and simplicity because the underlying measure has already been negotiated and accepted internationally.</w:t>
      </w:r>
    </w:p>
    <w:p w14:paraId="069846B6" w14:textId="77777777" w:rsidR="007B1A36" w:rsidRDefault="00000000">
      <w:r>
        <w:t>However, the inverted scale reflects economic capacity only. It does not measure stewardship responsibility.</w:t>
      </w:r>
    </w:p>
    <w:p w14:paraId="1ADD681F" w14:textId="77777777" w:rsidR="007B1A36" w:rsidRDefault="00000000">
      <w:pPr>
        <w:pStyle w:val="Heading2"/>
      </w:pPr>
      <w:r>
        <w:t>The Imbalance Created by the Inverted Scale</w:t>
      </w:r>
    </w:p>
    <w:p w14:paraId="3AF022FC" w14:textId="77777777" w:rsidR="007B1A36" w:rsidRDefault="00000000">
      <w:r>
        <w:t>Problem 1: Large biodiversity‑important middle‑income countries</w:t>
      </w:r>
    </w:p>
    <w:p w14:paraId="297B0074" w14:textId="77777777" w:rsidR="007B1A36" w:rsidRDefault="00000000">
      <w:r>
        <w:t>Under an inverted capacity scale, many biodiversity‑rich middle‑income countries (such as Brazil, India, South Africa, China and other large emerging economies) can receive smaller shares than expected relative to their stewardship responsibilities. These countries manage large land areas, bear significant costs of biodiversity management and enforcement, and play a central role in delivering global biodiversity outcomes.</w:t>
      </w:r>
    </w:p>
    <w:p w14:paraId="6ECD32FC" w14:textId="77777777" w:rsidR="007B1A36" w:rsidRDefault="00000000">
      <w:r>
        <w:t>In simple terms, they are not poor enough to rank highly in a capacity‑based inversion but they carry substantial stewardship burdens.</w:t>
      </w:r>
    </w:p>
    <w:p w14:paraId="5129ED60" w14:textId="77777777" w:rsidR="007B1A36" w:rsidRDefault="00000000">
      <w:r>
        <w:t>Problem 2: Small Island Developing States (SIDS)</w:t>
      </w:r>
    </w:p>
    <w:p w14:paraId="50845111" w14:textId="77777777" w:rsidR="007B1A36" w:rsidRDefault="00000000">
      <w:r>
        <w:t>Some Small Island Developing States are classified as high income. A simple inversion or a rule excluding high‑income countries can therefore reduce or eliminate their allocation.</w:t>
      </w:r>
    </w:p>
    <w:p w14:paraId="7F26E72B" w14:textId="77777777" w:rsidR="007B1A36" w:rsidRDefault="00000000">
      <w:r>
        <w:t>This creates a second imbalance because many SIDS face structural challenges that income classification does not capture. These include small administrative scale, high fixed governance costs, climate and disaster vulnerability, narrow economic structures, and disproportionately large ocean stewardship responsibilities relative to land area.</w:t>
      </w:r>
    </w:p>
    <w:p w14:paraId="127F4F57" w14:textId="77777777" w:rsidR="007B1A36" w:rsidRDefault="00000000">
      <w:pPr>
        <w:pStyle w:val="Heading2"/>
      </w:pPr>
      <w:r>
        <w:t>The Solution: Equity First, Then Stewardship Balancing</w:t>
      </w:r>
    </w:p>
    <w:p w14:paraId="391373AE" w14:textId="77777777" w:rsidR="007B1A36" w:rsidRDefault="00000000">
      <w:r>
        <w:t>The model therefore uses a two‑stage approach.</w:t>
      </w:r>
    </w:p>
    <w:p w14:paraId="3A49A118" w14:textId="77777777" w:rsidR="007B1A36" w:rsidRDefault="00000000">
      <w:r>
        <w:t>Stage 1 – Equity Baseline (Capacity)</w:t>
      </w:r>
    </w:p>
    <w:p w14:paraId="35B5E91D" w14:textId="77777777" w:rsidR="007B1A36" w:rsidRDefault="00000000">
      <w:r>
        <w:t>Most of the allocation is determined using the inverted UN Scale of Assessments. This provides the core equity foundation based on economic capacity and ensures continuity with an internationally recognised framework.</w:t>
      </w:r>
    </w:p>
    <w:p w14:paraId="1EBCDDBF" w14:textId="77777777" w:rsidR="007B1A36" w:rsidRDefault="00000000">
      <w:r>
        <w:t>Stage 2 – Stewardship Balancing (Burden)</w:t>
      </w:r>
    </w:p>
    <w:p w14:paraId="4E93A48E" w14:textId="77777777" w:rsidR="007B1A36" w:rsidRDefault="00000000">
      <w:r>
        <w:lastRenderedPageBreak/>
        <w:t>Two simple adjustments are then applied to correct predictable imbalances created by the capacity‑based baseline.</w:t>
      </w:r>
    </w:p>
    <w:p w14:paraId="111CAFF5" w14:textId="77777777" w:rsidR="007B1A36" w:rsidRDefault="00000000">
      <w:pPr>
        <w:pStyle w:val="Heading2"/>
      </w:pPr>
      <w:r>
        <w:t>TSAC – Terrestrial Stewardship Allocation Component</w:t>
      </w:r>
    </w:p>
    <w:p w14:paraId="149711B7" w14:textId="77777777" w:rsidR="007B1A36" w:rsidRDefault="00000000">
      <w:r>
        <w:t>TSAC introduces a land‑based stewardship correction that applies to all eligible Parties. It allocates a portion of resources proportionally according to national land surface area.</w:t>
      </w:r>
    </w:p>
    <w:p w14:paraId="028F4671" w14:textId="77777777" w:rsidR="007B1A36" w:rsidRDefault="00000000">
      <w:r>
        <w:t>Land area is used because it is objective, transparent, and not politically contested. The purpose of TSAC is to ensure that countries responsible for managing large terrestrial areas are not systematically under‑funded by a purely capacity‑based allocation.</w:t>
      </w:r>
    </w:p>
    <w:p w14:paraId="4D8E0FED" w14:textId="77777777" w:rsidR="007B1A36" w:rsidRDefault="00000000">
      <w:r>
        <w:t>In simple terms, TSAC recognises that managing biodiversity across larger territories carries greater stewardship responsibilities.</w:t>
      </w:r>
    </w:p>
    <w:p w14:paraId="5E05DDC0" w14:textId="77777777" w:rsidR="007B1A36" w:rsidRDefault="00000000">
      <w:pPr>
        <w:pStyle w:val="Heading2"/>
      </w:pPr>
      <w:r>
        <w:t>SOSAC – SIDS Ocean Stewardship Allocation Component</w:t>
      </w:r>
    </w:p>
    <w:p w14:paraId="2218F9C0" w14:textId="77777777" w:rsidR="007B1A36" w:rsidRDefault="00000000">
      <w:r>
        <w:t>SOSAC provides a structural adjustment for Small Island Developing States.</w:t>
      </w:r>
    </w:p>
    <w:p w14:paraId="3331FCEA" w14:textId="77777777" w:rsidR="007B1A36" w:rsidRDefault="00000000">
      <w:r>
        <w:t>This component does not depend on exclusive economic zones, marine boundary calculations, or other potentially contested ocean geometry. Instead, it recognises that SIDS collectively face structural constraints and disproportionate ocean stewardship responsibilities.</w:t>
      </w:r>
    </w:p>
    <w:p w14:paraId="1FC05F66" w14:textId="77777777" w:rsidR="007B1A36" w:rsidRDefault="00000000">
      <w:r>
        <w:t>SOSAC therefore ensures that SIDS are not disadvantaged by income classifications that fail to reflect these realities.</w:t>
      </w:r>
    </w:p>
    <w:p w14:paraId="32187CFC" w14:textId="77777777" w:rsidR="007B1A36" w:rsidRDefault="00000000">
      <w:pPr>
        <w:pStyle w:val="Heading2"/>
      </w:pPr>
      <w:r>
        <w:t>Eligibility Rule for High‑Income Countries</w:t>
      </w:r>
    </w:p>
    <w:p w14:paraId="707F9A79" w14:textId="77777777" w:rsidR="007B1A36" w:rsidRDefault="00000000">
      <w:r>
        <w:t>If the model includes an option to exclude high‑income countries, that rule should not apply to SIDS.</w:t>
      </w:r>
    </w:p>
    <w:p w14:paraId="6A56065F" w14:textId="77777777" w:rsidR="007B1A36" w:rsidRDefault="00000000">
      <w:r>
        <w:t>High‑income exclusion may apply to non‑SIDS countries, but SIDS remain eligible even when classified as high income. This maintains internal consistency because SOSAC is specifically designed to address structural conditions faced by SIDS.</w:t>
      </w:r>
    </w:p>
    <w:p w14:paraId="013F5271" w14:textId="77777777" w:rsidR="007B1A36" w:rsidRDefault="00000000">
      <w:pPr>
        <w:pStyle w:val="Heading2"/>
      </w:pPr>
      <w:r>
        <w:t>Summary</w:t>
      </w:r>
    </w:p>
    <w:p w14:paraId="754A6A0D" w14:textId="77777777" w:rsidR="007B1A36" w:rsidRDefault="00000000">
      <w:r>
        <w:t>The model can be summarised as follows:</w:t>
      </w:r>
    </w:p>
    <w:p w14:paraId="42D36CFC" w14:textId="77777777" w:rsidR="007B1A36" w:rsidRDefault="00000000">
      <w:r>
        <w:t>Most allocations are determined using an inverted UN capacity scale. Two bounded stewardship adjustments are then applied: a terrestrial stewardship component based on land area for all Parties, and a structural SIDS ocean stewardship component. Floor and ceiling mechanisms can be used to prevent extreme outcomes.</w:t>
      </w:r>
    </w:p>
    <w:p w14:paraId="4408D2F1" w14:textId="77777777" w:rsidR="007B1A36" w:rsidRDefault="00000000">
      <w:r>
        <w:t>This structure preserves fairness, transparency, and political stability while recognising real stewardship responsibilities.</w:t>
      </w:r>
    </w:p>
    <w:sectPr w:rsidR="007B1A36"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76667" w14:textId="77777777" w:rsidR="00455547" w:rsidRDefault="00455547" w:rsidP="00C45EE1">
      <w:pPr>
        <w:spacing w:after="0" w:line="240" w:lineRule="auto"/>
      </w:pPr>
      <w:r>
        <w:separator/>
      </w:r>
    </w:p>
  </w:endnote>
  <w:endnote w:type="continuationSeparator" w:id="0">
    <w:p w14:paraId="22559E6A" w14:textId="77777777" w:rsidR="00455547" w:rsidRDefault="00455547" w:rsidP="00C45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0773159"/>
      <w:docPartObj>
        <w:docPartGallery w:val="Page Numbers (Bottom of Page)"/>
        <w:docPartUnique/>
      </w:docPartObj>
    </w:sdtPr>
    <w:sdtContent>
      <w:p w14:paraId="3C6EE89E" w14:textId="4C6B6F3E" w:rsidR="00C45EE1" w:rsidRDefault="00C45EE1" w:rsidP="005855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B3FFF3" w14:textId="77777777" w:rsidR="00C45EE1" w:rsidRDefault="00C45EE1" w:rsidP="00C45E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9690436"/>
      <w:docPartObj>
        <w:docPartGallery w:val="Page Numbers (Bottom of Page)"/>
        <w:docPartUnique/>
      </w:docPartObj>
    </w:sdtPr>
    <w:sdtContent>
      <w:p w14:paraId="4294E754" w14:textId="1E78E6F1" w:rsidR="00C45EE1" w:rsidRDefault="00C45EE1" w:rsidP="005855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A4FD44" w14:textId="77777777" w:rsidR="00C45EE1" w:rsidRDefault="00C45EE1" w:rsidP="00C45E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89A26" w14:textId="77777777" w:rsidR="00455547" w:rsidRDefault="00455547" w:rsidP="00C45EE1">
      <w:pPr>
        <w:spacing w:after="0" w:line="240" w:lineRule="auto"/>
      </w:pPr>
      <w:r>
        <w:separator/>
      </w:r>
    </w:p>
  </w:footnote>
  <w:footnote w:type="continuationSeparator" w:id="0">
    <w:p w14:paraId="06D2D586" w14:textId="77777777" w:rsidR="00455547" w:rsidRDefault="00455547" w:rsidP="00C45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852647">
    <w:abstractNumId w:val="8"/>
  </w:num>
  <w:num w:numId="2" w16cid:durableId="1297100836">
    <w:abstractNumId w:val="6"/>
  </w:num>
  <w:num w:numId="3" w16cid:durableId="325130801">
    <w:abstractNumId w:val="5"/>
  </w:num>
  <w:num w:numId="4" w16cid:durableId="490370074">
    <w:abstractNumId w:val="4"/>
  </w:num>
  <w:num w:numId="5" w16cid:durableId="1228496543">
    <w:abstractNumId w:val="7"/>
  </w:num>
  <w:num w:numId="6" w16cid:durableId="103424853">
    <w:abstractNumId w:val="3"/>
  </w:num>
  <w:num w:numId="7" w16cid:durableId="1328053081">
    <w:abstractNumId w:val="2"/>
  </w:num>
  <w:num w:numId="8" w16cid:durableId="2015569451">
    <w:abstractNumId w:val="1"/>
  </w:num>
  <w:num w:numId="9" w16cid:durableId="1095587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547"/>
    <w:rsid w:val="004814B6"/>
    <w:rsid w:val="007B1A36"/>
    <w:rsid w:val="00AA1D8D"/>
    <w:rsid w:val="00B47730"/>
    <w:rsid w:val="00C45E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C43CA"/>
  <w14:defaultImageDpi w14:val="300"/>
  <w15:docId w15:val="{68546522-E992-BD42-A516-6E28CA16B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45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David Oldham</cp:lastModifiedBy>
  <cp:revision>2</cp:revision>
  <cp:lastPrinted>2026-03-05T12:37:00Z</cp:lastPrinted>
  <dcterms:created xsi:type="dcterms:W3CDTF">2013-12-23T23:15:00Z</dcterms:created>
  <dcterms:modified xsi:type="dcterms:W3CDTF">2026-03-05T12:37:00Z</dcterms:modified>
  <cp:category/>
</cp:coreProperties>
</file>