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sz w:val="28"/>
        </w:rPr>
        <w:t>TSAC Sensitivity and Balance Points (Option D Revision Draft)</w:t>
      </w:r>
    </w:p>
    <w:p>
      <w:pPr>
        <w:jc w:val="center"/>
      </w:pPr>
      <w:r>
        <w:rPr>
          <w:rFonts w:ascii="Times New Roman" w:hAnsi="Times New Roman"/>
          <w:i/>
          <w:color w:val="999999"/>
          <w:sz w:val="18"/>
        </w:rPr>
        <w:t>DRAFT — For reference during paper revision</w:t>
        <w:br/>
        <w:t>142 eligible Parties | Fund size: USD 1,000 M | SOSAC = 3% | State/IPLC split: 50/50</w:t>
      </w:r>
    </w:p>
    <w:p/>
    <w:p>
      <w:pPr>
        <w:pStyle w:val="Heading2"/>
      </w:pPr>
      <w:r>
        <w:rPr>
          <w:rFonts w:ascii="Times New Roman" w:hAnsi="Times New Roman"/>
        </w:rPr>
        <w:t>Sensitivity Analysis: Band-Order Preservation as the Structural Constraint</w:t>
      </w:r>
    </w:p>
    <w:p>
      <w:pPr>
        <w:spacing w:after="120"/>
      </w:pPr>
      <w:r>
        <w:t>Sensitivity analysis establishes that, in contrast with SOSAC, TSAC rapidly becomes a dominant overlay on the IUSAF equity base and requires careful consideration of balance points. Progressively increasing the TSAC value produces a structural breakpoint where the IUSAF band ordering is subverted: China (Band 6, lowest IUSAF weight) receives a higher per-Party allocation than Brazil, India and Mexico (Band 5). Under pure IUSAF, the allocation ordering is strictly monotonic: Band 1 &gt; Band 2 &gt; Band 3 &gt; Band 4 &gt; Band 5 &gt; Band 6.</w:t>
      </w:r>
    </w:p>
    <w:p>
      <w:pPr>
        <w:spacing w:after="120"/>
      </w:pPr>
      <w:r>
        <w:t>The model adopts band-order preservation as its structural constraint: the Gini-minimum TSAC value is the lowest point where the Gini coefficient is minimised while maintaining the descending band order (Band 5 mean &gt; Band 6 mean). A Spearman safety floor of ρ = 0.80 is also maintained but does not bind at any policy-relevant TSAC setting (the Spearman correlation is ρ = 0.945 at the Gini-minimum, well above the floor).</w:t>
      </w:r>
    </w:p>
    <w:p>
      <w:pPr>
        <w:spacing w:after="240"/>
      </w:pPr>
      <w:r>
        <w:t>Note: in the discussion below, unless otherwise specified, SOSAC is set at 3% and all figures refer to the 142 eligible Parties with high-income countries excluded.</w:t>
      </w:r>
    </w:p>
    <w:p>
      <w:pPr>
        <w:pStyle w:val="Heading2"/>
      </w:pPr>
      <w:r>
        <w:rPr>
          <w:rFonts w:ascii="Times New Roman" w:hAnsi="Times New Roman"/>
        </w:rPr>
        <w:t>Three Balance Points</w:t>
      </w:r>
    </w:p>
    <w:p>
      <w:pPr>
        <w:spacing w:after="120"/>
      </w:pPr>
      <w:r>
        <w:t>Three balance points are presented for potential consideration, each defined by its relationship to the band-order preservation constraint:</w:t>
      </w:r>
    </w:p>
    <w:p>
      <w:pPr>
        <w:pStyle w:val="ListBullet"/>
      </w:pPr>
      <w:r>
        <w:rPr>
          <w:rFonts w:ascii="Times New Roman" w:hAnsi="Times New Roman"/>
          <w:b/>
        </w:rPr>
        <w:t xml:space="preserve">Strict (TSAC = 1.5%, SOSAC = 3%): </w:t>
      </w:r>
      <w:r>
        <w:rPr>
          <w:rFonts w:ascii="Times New Roman" w:hAnsi="Times New Roman"/>
        </w:rPr>
        <w:t>The IUSAF equity base is dominant for all eligible Parties without exception. Stewardship supplements never exceed the equity base for any Party. Band order is preserved with a comfortable gap of $0.95M (Band 5 mean $4.92M vs Band 6 mean $3.97M), a relative margin of 19.3% of the Band 5 mean. Spearman ρ = 0.951.</w:t>
      </w:r>
    </w:p>
    <w:p>
      <w:pPr>
        <w:pStyle w:val="ListBullet"/>
      </w:pPr>
      <w:r>
        <w:rPr>
          <w:rFonts w:ascii="Times New Roman" w:hAnsi="Times New Roman"/>
          <w:b/>
        </w:rPr>
        <w:t xml:space="preserve">Gini-minimum (TSAC = 2.5%, SOSAC = 3%): </w:t>
      </w:r>
      <w:r>
        <w:rPr>
          <w:rFonts w:ascii="Times New Roman" w:hAnsi="Times New Roman"/>
        </w:rPr>
        <w:t>The point at which the Gini coefficient is lowest while preserving IUSAF band order. If this balance point is chosen, stewardship may approach but does not exceed the equity base for developing country Parties with a large landmass. Band order is preserved with a slim absolute gap of $0.29M (Band 5 mean $5.44M vs Band 6 mean $5.15M), a relative margin of 5.4% of the Band 5 mean. Spearman ρ = 0.945.</w:t>
      </w:r>
    </w:p>
    <w:p>
      <w:pPr>
        <w:pStyle w:val="ListBullet"/>
      </w:pPr>
      <w:r>
        <w:rPr>
          <w:rFonts w:ascii="Times New Roman" w:hAnsi="Times New Roman"/>
          <w:b/>
        </w:rPr>
        <w:t xml:space="preserve">Band-order boundary (TSAC ≈ 3.0%, SOSAC = 3%): </w:t>
      </w:r>
      <w:r>
        <w:rPr>
          <w:rFonts w:ascii="Times New Roman" w:hAnsi="Times New Roman"/>
        </w:rPr>
        <w:t>The structural ceiling at which the descending band order is just overturned: Band 6 mean allocation ($5.74M) marginally exceeds Band 5 ($5.70M). Beyond this point, China (Band 6) receives a higher allocation than Brazil, India and Mexico (Band 5), breaking the IUSAF monotonic requirement. Spearman ρ = 0.929.</w:t>
      </w:r>
    </w:p>
    <w:p/>
    <w:p>
      <w:pPr>
        <w:pStyle w:val="Heading2"/>
      </w:pPr>
      <w:r>
        <w:rPr>
          <w:rFonts w:ascii="Times New Roman" w:hAnsi="Times New Roman"/>
        </w:rPr>
        <w:t>Stewardship Pool Volumes</w:t>
      </w:r>
    </w:p>
    <w:p>
      <w:pPr>
        <w:spacing w:after="240"/>
      </w:pPr>
      <w:r>
        <w:t>In considering these balance points it is important to calculate the volume of funds that are being allocated for IUSAF and TSAC and SOSAC. Under a US$1 billion fund 93.5–95.5% ($935–955m) will be stably allocated under the IUSAF. The amount under consideration for allocation under the three balance point scenarios is 4.5–6.5% of the Cali Fund or $45–65 million. Under these scenarios for 142 developing country Parties the vast majority would see reallocations of less than $0.5 million. As such, if IUSAF is accepted as the stable baseline, the question for consideration by Parties would be how to allocate the $45–65 million stewardship pool. Note that the size of the stewardship pool will scale in accordance with the overall size of the Cali Fund.</w:t>
      </w:r>
    </w:p>
    <w:p>
      <w:pPr>
        <w:pStyle w:val="Heading2"/>
      </w:pPr>
      <w:r>
        <w:rPr>
          <w:rFonts w:ascii="Times New Roman" w:hAnsi="Times New Roman"/>
        </w:rPr>
        <w:t>Band-Order Preservation Across TSAC Levels</w:t>
      </w:r>
    </w:p>
    <w:p>
      <w:pPr>
        <w:spacing w:after="120"/>
      </w:pPr>
      <w:r>
        <w:t>Table A shows how the mean allocation for Band 6 (China) and Band 5 (Brazil, India, Mexico) changes as TSAC increases, and whether the descending IUSAF band order is preserved.</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3118"/>
            <w:shd w:fill="D9D9D9"/>
          </w:tcPr>
          <w:p>
            <w:pPr>
              <w:jc w:val="center"/>
            </w:pPr>
            <w:r/>
            <w:r>
              <w:rPr>
                <w:rFonts w:ascii="Times New Roman" w:hAnsi="Times New Roman"/>
                <w:b/>
                <w:sz w:val="17"/>
              </w:rPr>
              <w:t>TSAC Level</w:t>
            </w:r>
          </w:p>
        </w:tc>
        <w:tc>
          <w:tcPr>
            <w:tcW w:type="dxa" w:w="1701"/>
            <w:shd w:fill="D9D9D9"/>
          </w:tcPr>
          <w:p>
            <w:pPr>
              <w:jc w:val="center"/>
            </w:pPr>
            <w:r/>
            <w:r>
              <w:rPr>
                <w:rFonts w:ascii="Times New Roman" w:hAnsi="Times New Roman"/>
                <w:b/>
                <w:sz w:val="17"/>
              </w:rPr>
              <w:t>Band 6 mean</w:t>
            </w:r>
            <w:r>
              <w:br/>
            </w:r>
            <w:r>
              <w:rPr>
                <w:rFonts w:ascii="Times New Roman" w:hAnsi="Times New Roman"/>
                <w:b/>
                <w:sz w:val="17"/>
              </w:rPr>
              <w:t>(China)</w:t>
            </w:r>
          </w:p>
        </w:tc>
        <w:tc>
          <w:tcPr>
            <w:tcW w:type="dxa" w:w="2268"/>
            <w:shd w:fill="D9D9D9"/>
          </w:tcPr>
          <w:p>
            <w:pPr>
              <w:jc w:val="center"/>
            </w:pPr>
            <w:r/>
            <w:r>
              <w:rPr>
                <w:rFonts w:ascii="Times New Roman" w:hAnsi="Times New Roman"/>
                <w:b/>
                <w:sz w:val="17"/>
              </w:rPr>
              <w:t>Band 5 mean</w:t>
            </w:r>
            <w:r>
              <w:br/>
            </w:r>
            <w:r>
              <w:rPr>
                <w:rFonts w:ascii="Times New Roman" w:hAnsi="Times New Roman"/>
                <w:b/>
                <w:sz w:val="17"/>
              </w:rPr>
              <w:t>(Brazil, India, Mexico)</w:t>
            </w:r>
          </w:p>
        </w:tc>
        <w:tc>
          <w:tcPr>
            <w:tcW w:type="dxa" w:w="1417"/>
            <w:shd w:fill="D9D9D9"/>
          </w:tcPr>
          <w:p>
            <w:pPr>
              <w:jc w:val="center"/>
            </w:pPr>
            <w:r/>
            <w:r>
              <w:rPr>
                <w:rFonts w:ascii="Times New Roman" w:hAnsi="Times New Roman"/>
                <w:b/>
                <w:sz w:val="17"/>
              </w:rPr>
              <w:t>Band 5 vs</w:t>
            </w:r>
            <w:r>
              <w:br/>
            </w:r>
            <w:r>
              <w:rPr>
                <w:rFonts w:ascii="Times New Roman" w:hAnsi="Times New Roman"/>
                <w:b/>
                <w:sz w:val="17"/>
              </w:rPr>
              <w:t>Band 6 margin</w:t>
            </w:r>
          </w:p>
        </w:tc>
        <w:tc>
          <w:tcPr>
            <w:tcW w:type="dxa" w:w="2551"/>
            <w:shd w:fill="D9D9D9"/>
          </w:tcPr>
          <w:p>
            <w:pPr>
              <w:jc w:val="center"/>
            </w:pPr>
            <w:r/>
            <w:r>
              <w:rPr>
                <w:rFonts w:ascii="Times New Roman" w:hAnsi="Times New Roman"/>
                <w:b/>
                <w:sz w:val="17"/>
              </w:rPr>
              <w:t>IUSAF Band</w:t>
            </w:r>
            <w:r>
              <w:br/>
            </w:r>
            <w:r>
              <w:rPr>
                <w:rFonts w:ascii="Times New Roman" w:hAnsi="Times New Roman"/>
                <w:b/>
                <w:sz w:val="17"/>
              </w:rPr>
              <w:t>Order Preserved?</w:t>
            </w:r>
          </w:p>
        </w:tc>
      </w:tr>
      <w:tr>
        <w:tc>
          <w:tcPr>
            <w:tcW w:type="dxa" w:w="3118"/>
          </w:tcPr>
          <w:p>
            <w:pPr>
              <w:jc w:val="center"/>
            </w:pPr>
            <w:r/>
            <w:r>
              <w:rPr>
                <w:rFonts w:ascii="Times New Roman" w:hAnsi="Times New Roman"/>
                <w:sz w:val="17"/>
              </w:rPr>
              <w:t>Pure IUSAF</w:t>
            </w:r>
          </w:p>
        </w:tc>
        <w:tc>
          <w:tcPr>
            <w:tcW w:type="dxa" w:w="1701"/>
          </w:tcPr>
          <w:p>
            <w:pPr>
              <w:jc w:val="center"/>
            </w:pPr>
            <w:r/>
            <w:r>
              <w:rPr>
                <w:rFonts w:ascii="Times New Roman" w:hAnsi="Times New Roman"/>
                <w:sz w:val="17"/>
              </w:rPr>
              <w:t>USD 2.21M</w:t>
            </w:r>
          </w:p>
        </w:tc>
        <w:tc>
          <w:tcPr>
            <w:tcW w:type="dxa" w:w="2268"/>
          </w:tcPr>
          <w:p>
            <w:pPr>
              <w:jc w:val="center"/>
            </w:pPr>
            <w:r/>
            <w:r>
              <w:rPr>
                <w:rFonts w:ascii="Times New Roman" w:hAnsi="Times New Roman"/>
                <w:sz w:val="17"/>
              </w:rPr>
              <w:t>USD 4.13M</w:t>
            </w:r>
          </w:p>
        </w:tc>
        <w:tc>
          <w:tcPr>
            <w:tcW w:type="dxa" w:w="1417"/>
          </w:tcPr>
          <w:p>
            <w:pPr>
              <w:jc w:val="center"/>
            </w:pPr>
            <w:r/>
            <w:r>
              <w:rPr>
                <w:rFonts w:ascii="Times New Roman" w:hAnsi="Times New Roman"/>
                <w:sz w:val="17"/>
              </w:rPr>
              <w:t>+46.7%</w:t>
            </w:r>
          </w:p>
        </w:tc>
        <w:tc>
          <w:tcPr>
            <w:tcW w:type="dxa" w:w="2551"/>
          </w:tcPr>
          <w:p>
            <w:pPr>
              <w:jc w:val="left"/>
            </w:pPr>
            <w:r/>
            <w:r>
              <w:rPr>
                <w:rFonts w:ascii="Times New Roman" w:hAnsi="Times New Roman"/>
                <w:sz w:val="17"/>
              </w:rPr>
              <w:t>YES</w:t>
            </w:r>
          </w:p>
        </w:tc>
      </w:tr>
      <w:tr>
        <w:tc>
          <w:tcPr>
            <w:tcW w:type="dxa" w:w="3118"/>
          </w:tcPr>
          <w:p>
            <w:pPr>
              <w:jc w:val="center"/>
            </w:pPr>
            <w:r/>
            <w:r>
              <w:rPr>
                <w:rFonts w:ascii="Times New Roman" w:hAnsi="Times New Roman"/>
                <w:sz w:val="17"/>
              </w:rPr>
              <w:t>Strict</w:t>
            </w:r>
          </w:p>
        </w:tc>
        <w:tc>
          <w:tcPr>
            <w:tcW w:type="dxa" w:w="1701"/>
          </w:tcPr>
          <w:p>
            <w:pPr>
              <w:jc w:val="center"/>
            </w:pPr>
            <w:r/>
            <w:r>
              <w:rPr>
                <w:rFonts w:ascii="Times New Roman" w:hAnsi="Times New Roman"/>
                <w:sz w:val="17"/>
              </w:rPr>
              <w:t>USD 3.97M</w:t>
            </w:r>
          </w:p>
        </w:tc>
        <w:tc>
          <w:tcPr>
            <w:tcW w:type="dxa" w:w="2268"/>
          </w:tcPr>
          <w:p>
            <w:pPr>
              <w:jc w:val="center"/>
            </w:pPr>
            <w:r/>
            <w:r>
              <w:rPr>
                <w:rFonts w:ascii="Times New Roman" w:hAnsi="Times New Roman"/>
                <w:sz w:val="17"/>
              </w:rPr>
              <w:t>USD 4.92M</w:t>
            </w:r>
          </w:p>
        </w:tc>
        <w:tc>
          <w:tcPr>
            <w:tcW w:type="dxa" w:w="1417"/>
          </w:tcPr>
          <w:p>
            <w:pPr>
              <w:jc w:val="center"/>
            </w:pPr>
            <w:r/>
            <w:r>
              <w:rPr>
                <w:rFonts w:ascii="Times New Roman" w:hAnsi="Times New Roman"/>
                <w:sz w:val="17"/>
              </w:rPr>
              <w:t>+19.3%</w:t>
            </w:r>
          </w:p>
        </w:tc>
        <w:tc>
          <w:tcPr>
            <w:tcW w:type="dxa" w:w="2551"/>
          </w:tcPr>
          <w:p>
            <w:pPr>
              <w:jc w:val="left"/>
            </w:pPr>
            <w:r/>
            <w:r>
              <w:rPr>
                <w:rFonts w:ascii="Times New Roman" w:hAnsi="Times New Roman"/>
                <w:sz w:val="17"/>
              </w:rPr>
              <w:t>YES (margin 19.3%)</w:t>
            </w:r>
          </w:p>
        </w:tc>
      </w:tr>
      <w:tr>
        <w:tc>
          <w:tcPr>
            <w:tcW w:type="dxa" w:w="3118"/>
            <w:shd w:fill="D4EDDA"/>
          </w:tcPr>
          <w:p>
            <w:pPr>
              <w:jc w:val="center"/>
            </w:pPr>
            <w:r/>
            <w:r>
              <w:rPr>
                <w:rFonts w:ascii="Times New Roman" w:hAnsi="Times New Roman"/>
                <w:b/>
                <w:sz w:val="17"/>
              </w:rPr>
              <w:t>Gini-minimum</w:t>
            </w:r>
          </w:p>
        </w:tc>
        <w:tc>
          <w:tcPr>
            <w:tcW w:type="dxa" w:w="1701"/>
            <w:shd w:fill="D4EDDA"/>
          </w:tcPr>
          <w:p>
            <w:pPr>
              <w:jc w:val="center"/>
            </w:pPr>
            <w:r/>
            <w:r>
              <w:rPr>
                <w:rFonts w:ascii="Times New Roman" w:hAnsi="Times New Roman"/>
                <w:b/>
                <w:sz w:val="17"/>
              </w:rPr>
              <w:t>USD 5.15M</w:t>
            </w:r>
          </w:p>
        </w:tc>
        <w:tc>
          <w:tcPr>
            <w:tcW w:type="dxa" w:w="2268"/>
            <w:shd w:fill="D4EDDA"/>
          </w:tcPr>
          <w:p>
            <w:pPr>
              <w:jc w:val="center"/>
            </w:pPr>
            <w:r/>
            <w:r>
              <w:rPr>
                <w:rFonts w:ascii="Times New Roman" w:hAnsi="Times New Roman"/>
                <w:b/>
                <w:sz w:val="17"/>
              </w:rPr>
              <w:t>USD 5.44M</w:t>
            </w:r>
          </w:p>
        </w:tc>
        <w:tc>
          <w:tcPr>
            <w:tcW w:type="dxa" w:w="1417"/>
            <w:shd w:fill="D4EDDA"/>
          </w:tcPr>
          <w:p>
            <w:pPr>
              <w:jc w:val="center"/>
            </w:pPr>
            <w:r/>
            <w:r>
              <w:rPr>
                <w:rFonts w:ascii="Times New Roman" w:hAnsi="Times New Roman"/>
                <w:b/>
                <w:sz w:val="17"/>
              </w:rPr>
              <w:t>+5.4%</w:t>
            </w:r>
          </w:p>
        </w:tc>
        <w:tc>
          <w:tcPr>
            <w:tcW w:type="dxa" w:w="2551"/>
            <w:shd w:fill="D4EDDA"/>
          </w:tcPr>
          <w:p>
            <w:pPr>
              <w:jc w:val="left"/>
            </w:pPr>
            <w:r/>
            <w:r>
              <w:rPr>
                <w:rFonts w:ascii="Times New Roman" w:hAnsi="Times New Roman"/>
                <w:b/>
                <w:sz w:val="17"/>
              </w:rPr>
              <w:t>YES (margin 5.4%)</w:t>
            </w:r>
          </w:p>
        </w:tc>
      </w:tr>
      <w:tr>
        <w:tc>
          <w:tcPr>
            <w:tcW w:type="dxa" w:w="3118"/>
          </w:tcPr>
          <w:p>
            <w:pPr>
              <w:jc w:val="center"/>
            </w:pPr>
            <w:r/>
            <w:r>
              <w:rPr>
                <w:rFonts w:ascii="Times New Roman" w:hAnsi="Times New Roman"/>
                <w:b/>
                <w:color w:val="CC0000"/>
                <w:sz w:val="17"/>
              </w:rPr>
              <w:t>Band-order boundary</w:t>
            </w:r>
          </w:p>
        </w:tc>
        <w:tc>
          <w:tcPr>
            <w:tcW w:type="dxa" w:w="1701"/>
          </w:tcPr>
          <w:p>
            <w:pPr>
              <w:jc w:val="center"/>
            </w:pPr>
            <w:r/>
            <w:r>
              <w:rPr>
                <w:rFonts w:ascii="Times New Roman" w:hAnsi="Times New Roman"/>
                <w:b/>
                <w:color w:val="CC0000"/>
                <w:sz w:val="17"/>
              </w:rPr>
              <w:t>USD 5.74M</w:t>
            </w:r>
          </w:p>
        </w:tc>
        <w:tc>
          <w:tcPr>
            <w:tcW w:type="dxa" w:w="2268"/>
          </w:tcPr>
          <w:p>
            <w:pPr>
              <w:jc w:val="center"/>
            </w:pPr>
            <w:r/>
            <w:r>
              <w:rPr>
                <w:rFonts w:ascii="Times New Roman" w:hAnsi="Times New Roman"/>
                <w:b/>
                <w:color w:val="CC0000"/>
                <w:sz w:val="17"/>
              </w:rPr>
              <w:t>USD 5.70M</w:t>
            </w:r>
          </w:p>
        </w:tc>
        <w:tc>
          <w:tcPr>
            <w:tcW w:type="dxa" w:w="1417"/>
          </w:tcPr>
          <w:p>
            <w:pPr>
              <w:jc w:val="center"/>
            </w:pPr>
            <w:r/>
            <w:r>
              <w:rPr>
                <w:rFonts w:ascii="Times New Roman" w:hAnsi="Times New Roman"/>
                <w:b/>
                <w:color w:val="CC0000"/>
                <w:sz w:val="17"/>
              </w:rPr>
              <w:t>-0.6%</w:t>
            </w:r>
          </w:p>
        </w:tc>
        <w:tc>
          <w:tcPr>
            <w:tcW w:type="dxa" w:w="2551"/>
          </w:tcPr>
          <w:p>
            <w:pPr>
              <w:jc w:val="left"/>
            </w:pPr>
            <w:r/>
            <w:r>
              <w:rPr>
                <w:rFonts w:ascii="Times New Roman" w:hAnsi="Times New Roman"/>
                <w:b/>
                <w:color w:val="CC0000"/>
                <w:sz w:val="17"/>
              </w:rPr>
              <w:t>NO — Band 6 overtakes Band 5</w:t>
            </w:r>
          </w:p>
        </w:tc>
      </w:tr>
      <w:tr>
        <w:tc>
          <w:tcPr>
            <w:tcW w:type="dxa" w:w="3118"/>
          </w:tcPr>
          <w:p>
            <w:pPr>
              <w:jc w:val="center"/>
            </w:pPr>
            <w:r/>
            <w:r>
              <w:rPr>
                <w:rFonts w:ascii="Times New Roman" w:hAnsi="Times New Roman"/>
                <w:sz w:val="17"/>
              </w:rPr>
              <w:t>Bounded</w:t>
            </w:r>
          </w:p>
        </w:tc>
        <w:tc>
          <w:tcPr>
            <w:tcW w:type="dxa" w:w="1701"/>
          </w:tcPr>
          <w:p>
            <w:pPr>
              <w:jc w:val="center"/>
            </w:pPr>
            <w:r/>
            <w:r>
              <w:rPr>
                <w:rFonts w:ascii="Times New Roman" w:hAnsi="Times New Roman"/>
                <w:sz w:val="17"/>
              </w:rPr>
              <w:t>USD 6.33M</w:t>
            </w:r>
          </w:p>
        </w:tc>
        <w:tc>
          <w:tcPr>
            <w:tcW w:type="dxa" w:w="2268"/>
          </w:tcPr>
          <w:p>
            <w:pPr>
              <w:jc w:val="center"/>
            </w:pPr>
            <w:r/>
            <w:r>
              <w:rPr>
                <w:rFonts w:ascii="Times New Roman" w:hAnsi="Times New Roman"/>
                <w:sz w:val="17"/>
              </w:rPr>
              <w:t>USD 5.97M</w:t>
            </w:r>
          </w:p>
        </w:tc>
        <w:tc>
          <w:tcPr>
            <w:tcW w:type="dxa" w:w="1417"/>
          </w:tcPr>
          <w:p>
            <w:pPr>
              <w:jc w:val="center"/>
            </w:pPr>
            <w:r/>
            <w:r>
              <w:rPr>
                <w:rFonts w:ascii="Times New Roman" w:hAnsi="Times New Roman"/>
                <w:sz w:val="17"/>
              </w:rPr>
              <w:t>-6.0%</w:t>
            </w:r>
          </w:p>
        </w:tc>
        <w:tc>
          <w:tcPr>
            <w:tcW w:type="dxa" w:w="2551"/>
          </w:tcPr>
          <w:p>
            <w:pPr>
              <w:jc w:val="left"/>
            </w:pPr>
            <w:r/>
            <w:r>
              <w:rPr>
                <w:rFonts w:ascii="Times New Roman" w:hAnsi="Times New Roman"/>
                <w:sz w:val="17"/>
              </w:rPr>
              <w:t>NO — Band 6 overtakes Band 5</w:t>
            </w:r>
          </w:p>
        </w:tc>
      </w:tr>
      <w:tr>
        <w:tc>
          <w:tcPr>
            <w:tcW w:type="dxa" w:w="3118"/>
          </w:tcPr>
          <w:p>
            <w:pPr>
              <w:jc w:val="center"/>
            </w:pPr>
            <w:r/>
            <w:r>
              <w:rPr>
                <w:rFonts w:ascii="Times New Roman" w:hAnsi="Times New Roman"/>
                <w:sz w:val="17"/>
              </w:rPr>
              <w:t>TSAC component overturn</w:t>
            </w:r>
          </w:p>
        </w:tc>
        <w:tc>
          <w:tcPr>
            <w:tcW w:type="dxa" w:w="1701"/>
          </w:tcPr>
          <w:p>
            <w:pPr>
              <w:jc w:val="center"/>
            </w:pPr>
            <w:r/>
            <w:r>
              <w:rPr>
                <w:rFonts w:ascii="Times New Roman" w:hAnsi="Times New Roman"/>
                <w:sz w:val="17"/>
              </w:rPr>
              <w:t>USD 13.04M</w:t>
            </w:r>
          </w:p>
        </w:tc>
        <w:tc>
          <w:tcPr>
            <w:tcW w:type="dxa" w:w="2268"/>
          </w:tcPr>
          <w:p>
            <w:pPr>
              <w:jc w:val="center"/>
            </w:pPr>
            <w:r/>
            <w:r>
              <w:rPr>
                <w:rFonts w:ascii="Times New Roman" w:hAnsi="Times New Roman"/>
                <w:sz w:val="17"/>
              </w:rPr>
              <w:t>USD 8.95M</w:t>
            </w:r>
          </w:p>
        </w:tc>
        <w:tc>
          <w:tcPr>
            <w:tcW w:type="dxa" w:w="1417"/>
          </w:tcPr>
          <w:p>
            <w:pPr>
              <w:jc w:val="center"/>
            </w:pPr>
            <w:r/>
            <w:r>
              <w:rPr>
                <w:rFonts w:ascii="Times New Roman" w:hAnsi="Times New Roman"/>
                <w:sz w:val="17"/>
              </w:rPr>
              <w:t>-45.7%</w:t>
            </w:r>
          </w:p>
        </w:tc>
        <w:tc>
          <w:tcPr>
            <w:tcW w:type="dxa" w:w="2551"/>
          </w:tcPr>
          <w:p>
            <w:pPr>
              <w:jc w:val="left"/>
            </w:pPr>
            <w:r/>
            <w:r>
              <w:rPr>
                <w:rFonts w:ascii="Times New Roman" w:hAnsi="Times New Roman"/>
                <w:sz w:val="17"/>
              </w:rPr>
              <w:t>NO — Band 6 overtakes Band 5</w:t>
            </w:r>
          </w:p>
        </w:tc>
      </w:tr>
    </w:tbl>
    <w:p>
      <w:pPr>
        <w:jc w:val="center"/>
      </w:pPr>
      <w:r>
        <w:rPr>
          <w:rFonts w:ascii="Times New Roman" w:hAnsi="Times New Roman"/>
          <w:i/>
          <w:sz w:val="17"/>
        </w:rPr>
        <w:t>Table A. Band-order preservation across TSAC levels (SOSAC = 3%)</w:t>
      </w:r>
    </w:p>
    <w:p>
      <w:pPr>
        <w:spacing w:after="240"/>
      </w:pPr>
      <w:r>
        <w:t>The key observation in Table A is that at TSAC = 2.5% (the Gini-minimum) the IUSAF band order is preserved with a slim gap of $0.29M (a relative margin of 5.4% of the Band 5 mean), but at TSAC = 3.0% Band 6 is receiving a higher allocation than Band 5, breaking the descending monotonic requirement. This overturn occurs at a TSAC value 17× lower than the simple model overturn threshold (TSAC + SOSAC = 50%), underscoring the sensitivity of the band ordering to the TSAC stewardship overlay.</w:t>
      </w:r>
    </w:p>
    <w:p>
      <w:pPr>
        <w:pStyle w:val="Heading2"/>
      </w:pPr>
      <w:r>
        <w:rPr>
          <w:rFonts w:ascii="Times New Roman" w:hAnsi="Times New Roman"/>
        </w:rPr>
        <w:t>Break-Point Summary</w:t>
      </w:r>
    </w:p>
    <w:p>
      <w:pPr>
        <w:spacing w:after="120"/>
      </w:pPr>
      <w:r>
        <w:t>Table B summarises the key metrics at each break-point, including the Spearman rank correlation against the pure IUSAF baseline, the IUSAF share of the fund, and the structural status of the band ordering.</w:t>
      </w:r>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850"/>
            <w:shd w:fill="D9D9D9"/>
          </w:tcPr>
          <w:p>
            <w:pPr>
              <w:jc w:val="center"/>
            </w:pPr>
            <w:r/>
            <w:r>
              <w:rPr>
                <w:rFonts w:ascii="Times New Roman" w:hAnsi="Times New Roman"/>
                <w:b/>
                <w:sz w:val="17"/>
              </w:rPr>
              <w:t>TSAC</w:t>
            </w:r>
          </w:p>
        </w:tc>
        <w:tc>
          <w:tcPr>
            <w:tcW w:type="dxa" w:w="850"/>
            <w:shd w:fill="D9D9D9"/>
          </w:tcPr>
          <w:p>
            <w:pPr>
              <w:jc w:val="center"/>
            </w:pPr>
            <w:r/>
            <w:r>
              <w:rPr>
                <w:rFonts w:ascii="Times New Roman" w:hAnsi="Times New Roman"/>
                <w:b/>
                <w:sz w:val="17"/>
              </w:rPr>
              <w:t>SOSAC</w:t>
            </w:r>
          </w:p>
        </w:tc>
        <w:tc>
          <w:tcPr>
            <w:tcW w:type="dxa" w:w="1134"/>
            <w:shd w:fill="D9D9D9"/>
          </w:tcPr>
          <w:p>
            <w:pPr>
              <w:jc w:val="center"/>
            </w:pPr>
            <w:r/>
            <w:r>
              <w:rPr>
                <w:rFonts w:ascii="Times New Roman" w:hAnsi="Times New Roman"/>
                <w:b/>
                <w:sz w:val="17"/>
              </w:rPr>
              <w:t>IUSAF %</w:t>
            </w:r>
          </w:p>
        </w:tc>
        <w:tc>
          <w:tcPr>
            <w:tcW w:type="dxa" w:w="1134"/>
            <w:shd w:fill="D9D9D9"/>
          </w:tcPr>
          <w:p>
            <w:pPr>
              <w:jc w:val="center"/>
            </w:pPr>
            <w:r/>
            <w:r>
              <w:rPr>
                <w:rFonts w:ascii="Times New Roman" w:hAnsi="Times New Roman"/>
                <w:b/>
                <w:sz w:val="17"/>
              </w:rPr>
              <w:t>Spearman ρ</w:t>
            </w:r>
          </w:p>
        </w:tc>
        <w:tc>
          <w:tcPr>
            <w:tcW w:type="dxa" w:w="1701"/>
            <w:shd w:fill="D9D9D9"/>
          </w:tcPr>
          <w:p>
            <w:pPr>
              <w:jc w:val="center"/>
            </w:pPr>
            <w:r/>
            <w:r>
              <w:rPr>
                <w:rFonts w:ascii="Times New Roman" w:hAnsi="Times New Roman"/>
                <w:b/>
                <w:sz w:val="17"/>
              </w:rPr>
              <w:t>Band Order</w:t>
            </w:r>
          </w:p>
        </w:tc>
        <w:tc>
          <w:tcPr>
            <w:tcW w:type="dxa" w:w="3402"/>
            <w:shd w:fill="D9D9D9"/>
          </w:tcPr>
          <w:p>
            <w:pPr>
              <w:jc w:val="center"/>
            </w:pPr>
            <w:r/>
            <w:r>
              <w:rPr>
                <w:rFonts w:ascii="Times New Roman" w:hAnsi="Times New Roman"/>
                <w:b/>
                <w:sz w:val="17"/>
              </w:rPr>
              <w:t>What Happens</w:t>
            </w:r>
          </w:p>
        </w:tc>
      </w:tr>
      <w:tr>
        <w:tc>
          <w:tcPr>
            <w:tcW w:type="dxa" w:w="850"/>
          </w:tcPr>
          <w:p>
            <w:pPr>
              <w:jc w:val="center"/>
            </w:pPr>
            <w:r/>
            <w:r>
              <w:rPr>
                <w:rFonts w:ascii="Times New Roman" w:hAnsi="Times New Roman"/>
                <w:sz w:val="17"/>
              </w:rPr>
              <w:t>0%</w:t>
            </w:r>
          </w:p>
        </w:tc>
        <w:tc>
          <w:tcPr>
            <w:tcW w:type="dxa" w:w="850"/>
          </w:tcPr>
          <w:p>
            <w:pPr>
              <w:jc w:val="center"/>
            </w:pPr>
            <w:r/>
            <w:r>
              <w:rPr>
                <w:rFonts w:ascii="Times New Roman" w:hAnsi="Times New Roman"/>
                <w:sz w:val="17"/>
              </w:rPr>
              <w:t>3%</w:t>
            </w:r>
          </w:p>
        </w:tc>
        <w:tc>
          <w:tcPr>
            <w:tcW w:type="dxa" w:w="1134"/>
          </w:tcPr>
          <w:p>
            <w:pPr>
              <w:jc w:val="center"/>
            </w:pPr>
            <w:r/>
            <w:r>
              <w:rPr>
                <w:rFonts w:ascii="Times New Roman" w:hAnsi="Times New Roman"/>
                <w:sz w:val="17"/>
              </w:rPr>
              <w:t>97.0%</w:t>
            </w:r>
          </w:p>
        </w:tc>
        <w:tc>
          <w:tcPr>
            <w:tcW w:type="dxa" w:w="1134"/>
          </w:tcPr>
          <w:p>
            <w:pPr>
              <w:jc w:val="center"/>
            </w:pPr>
            <w:r/>
            <w:r>
              <w:rPr>
                <w:rFonts w:ascii="Times New Roman" w:hAnsi="Times New Roman"/>
                <w:sz w:val="17"/>
              </w:rPr>
              <w:t>0.977</w:t>
            </w:r>
          </w:p>
        </w:tc>
        <w:tc>
          <w:tcPr>
            <w:tcW w:type="dxa" w:w="1701"/>
          </w:tcPr>
          <w:p>
            <w:pPr>
              <w:jc w:val="center"/>
            </w:pPr>
            <w:r/>
            <w:r>
              <w:rPr>
                <w:rFonts w:ascii="Times New Roman" w:hAnsi="Times New Roman"/>
                <w:sz w:val="17"/>
              </w:rPr>
              <w:t>Preserved</w:t>
            </w:r>
          </w:p>
        </w:tc>
        <w:tc>
          <w:tcPr>
            <w:tcW w:type="dxa" w:w="3402"/>
          </w:tcPr>
          <w:p>
            <w:pPr>
              <w:jc w:val="left"/>
            </w:pPr>
            <w:r/>
            <w:r>
              <w:rPr>
                <w:rFonts w:ascii="Times New Roman" w:hAnsi="Times New Roman"/>
                <w:sz w:val="17"/>
              </w:rPr>
              <w:t>SOSAC only — modest rank shift among SIDS</w:t>
            </w:r>
          </w:p>
        </w:tc>
      </w:tr>
      <w:tr>
        <w:tc>
          <w:tcPr>
            <w:tcW w:type="dxa" w:w="850"/>
          </w:tcPr>
          <w:p>
            <w:pPr>
              <w:jc w:val="center"/>
            </w:pPr>
            <w:r/>
            <w:r>
              <w:rPr>
                <w:rFonts w:ascii="Times New Roman" w:hAnsi="Times New Roman"/>
                <w:sz w:val="17"/>
              </w:rPr>
              <w:t>1.5%</w:t>
            </w:r>
          </w:p>
        </w:tc>
        <w:tc>
          <w:tcPr>
            <w:tcW w:type="dxa" w:w="850"/>
          </w:tcPr>
          <w:p>
            <w:pPr>
              <w:jc w:val="center"/>
            </w:pPr>
            <w:r/>
            <w:r>
              <w:rPr>
                <w:rFonts w:ascii="Times New Roman" w:hAnsi="Times New Roman"/>
                <w:sz w:val="17"/>
              </w:rPr>
              <w:t>3%</w:t>
            </w:r>
          </w:p>
        </w:tc>
        <w:tc>
          <w:tcPr>
            <w:tcW w:type="dxa" w:w="1134"/>
          </w:tcPr>
          <w:p>
            <w:pPr>
              <w:jc w:val="center"/>
            </w:pPr>
            <w:r/>
            <w:r>
              <w:rPr>
                <w:rFonts w:ascii="Times New Roman" w:hAnsi="Times New Roman"/>
                <w:sz w:val="17"/>
              </w:rPr>
              <w:t>95.5%</w:t>
            </w:r>
          </w:p>
        </w:tc>
        <w:tc>
          <w:tcPr>
            <w:tcW w:type="dxa" w:w="1134"/>
          </w:tcPr>
          <w:p>
            <w:pPr>
              <w:jc w:val="center"/>
            </w:pPr>
            <w:r/>
            <w:r>
              <w:rPr>
                <w:rFonts w:ascii="Times New Roman" w:hAnsi="Times New Roman"/>
                <w:sz w:val="17"/>
              </w:rPr>
              <w:t>0.951</w:t>
            </w:r>
          </w:p>
        </w:tc>
        <w:tc>
          <w:tcPr>
            <w:tcW w:type="dxa" w:w="1701"/>
          </w:tcPr>
          <w:p>
            <w:pPr>
              <w:jc w:val="center"/>
            </w:pPr>
            <w:r/>
            <w:r>
              <w:rPr>
                <w:rFonts w:ascii="Times New Roman" w:hAnsi="Times New Roman"/>
                <w:sz w:val="17"/>
              </w:rPr>
              <w:t>Preserved (19.3%)</w:t>
            </w:r>
          </w:p>
        </w:tc>
        <w:tc>
          <w:tcPr>
            <w:tcW w:type="dxa" w:w="3402"/>
          </w:tcPr>
          <w:p>
            <w:pPr>
              <w:jc w:val="left"/>
            </w:pPr>
            <w:r/>
            <w:r>
              <w:rPr>
                <w:rFonts w:ascii="Times New Roman" w:hAnsi="Times New Roman"/>
                <w:sz w:val="17"/>
              </w:rPr>
              <w:t>Strict — IUSAF dominant for all Parties</w:t>
            </w:r>
          </w:p>
        </w:tc>
      </w:tr>
      <w:tr>
        <w:tc>
          <w:tcPr>
            <w:tcW w:type="dxa" w:w="850"/>
            <w:shd w:fill="D4EDDA"/>
          </w:tcPr>
          <w:p>
            <w:pPr>
              <w:jc w:val="center"/>
            </w:pPr>
            <w:r/>
            <w:r>
              <w:rPr>
                <w:rFonts w:ascii="Times New Roman" w:hAnsi="Times New Roman"/>
                <w:b/>
                <w:sz w:val="17"/>
              </w:rPr>
              <w:t>2.5%</w:t>
            </w:r>
          </w:p>
        </w:tc>
        <w:tc>
          <w:tcPr>
            <w:tcW w:type="dxa" w:w="850"/>
            <w:shd w:fill="D4EDDA"/>
          </w:tcPr>
          <w:p>
            <w:pPr>
              <w:jc w:val="center"/>
            </w:pPr>
            <w:r/>
            <w:r>
              <w:rPr>
                <w:rFonts w:ascii="Times New Roman" w:hAnsi="Times New Roman"/>
                <w:b/>
                <w:sz w:val="17"/>
              </w:rPr>
              <w:t>3%</w:t>
            </w:r>
          </w:p>
        </w:tc>
        <w:tc>
          <w:tcPr>
            <w:tcW w:type="dxa" w:w="1134"/>
            <w:shd w:fill="D4EDDA"/>
          </w:tcPr>
          <w:p>
            <w:pPr>
              <w:jc w:val="center"/>
            </w:pPr>
            <w:r/>
            <w:r>
              <w:rPr>
                <w:rFonts w:ascii="Times New Roman" w:hAnsi="Times New Roman"/>
                <w:b/>
                <w:sz w:val="17"/>
              </w:rPr>
              <w:t>94.5%</w:t>
            </w:r>
          </w:p>
        </w:tc>
        <w:tc>
          <w:tcPr>
            <w:tcW w:type="dxa" w:w="1134"/>
            <w:shd w:fill="D4EDDA"/>
          </w:tcPr>
          <w:p>
            <w:pPr>
              <w:jc w:val="center"/>
            </w:pPr>
            <w:r/>
            <w:r>
              <w:rPr>
                <w:rFonts w:ascii="Times New Roman" w:hAnsi="Times New Roman"/>
                <w:b/>
                <w:sz w:val="17"/>
              </w:rPr>
              <w:t>0.945</w:t>
            </w:r>
          </w:p>
        </w:tc>
        <w:tc>
          <w:tcPr>
            <w:tcW w:type="dxa" w:w="1701"/>
            <w:shd w:fill="D4EDDA"/>
          </w:tcPr>
          <w:p>
            <w:pPr>
              <w:jc w:val="center"/>
            </w:pPr>
            <w:r/>
            <w:r>
              <w:rPr>
                <w:rFonts w:ascii="Times New Roman" w:hAnsi="Times New Roman"/>
                <w:b/>
                <w:sz w:val="17"/>
              </w:rPr>
              <w:t>Preserved (5.4%)</w:t>
            </w:r>
          </w:p>
        </w:tc>
        <w:tc>
          <w:tcPr>
            <w:tcW w:type="dxa" w:w="3402"/>
            <w:shd w:fill="D4EDDA"/>
          </w:tcPr>
          <w:p>
            <w:pPr>
              <w:jc w:val="left"/>
            </w:pPr>
            <w:r/>
            <w:r>
              <w:rPr>
                <w:rFonts w:ascii="Times New Roman" w:hAnsi="Times New Roman"/>
                <w:b/>
                <w:sz w:val="17"/>
              </w:rPr>
              <w:t>Gini-minimum — lowest Gini preserving band order</w:t>
            </w:r>
          </w:p>
        </w:tc>
      </w:tr>
      <w:tr>
        <w:tc>
          <w:tcPr>
            <w:tcW w:type="dxa" w:w="850"/>
          </w:tcPr>
          <w:p>
            <w:pPr>
              <w:jc w:val="center"/>
            </w:pPr>
            <w:r/>
            <w:r>
              <w:rPr>
                <w:rFonts w:ascii="Times New Roman" w:hAnsi="Times New Roman"/>
                <w:b/>
                <w:color w:val="CC0000"/>
                <w:sz w:val="17"/>
              </w:rPr>
              <w:t>3.0%</w:t>
            </w:r>
          </w:p>
        </w:tc>
        <w:tc>
          <w:tcPr>
            <w:tcW w:type="dxa" w:w="850"/>
          </w:tcPr>
          <w:p>
            <w:pPr>
              <w:jc w:val="center"/>
            </w:pPr>
            <w:r/>
            <w:r>
              <w:rPr>
                <w:rFonts w:ascii="Times New Roman" w:hAnsi="Times New Roman"/>
                <w:b/>
                <w:color w:val="CC0000"/>
                <w:sz w:val="17"/>
              </w:rPr>
              <w:t>3%</w:t>
            </w:r>
          </w:p>
        </w:tc>
        <w:tc>
          <w:tcPr>
            <w:tcW w:type="dxa" w:w="1134"/>
          </w:tcPr>
          <w:p>
            <w:pPr>
              <w:jc w:val="center"/>
            </w:pPr>
            <w:r/>
            <w:r>
              <w:rPr>
                <w:rFonts w:ascii="Times New Roman" w:hAnsi="Times New Roman"/>
                <w:b/>
                <w:color w:val="CC0000"/>
                <w:sz w:val="17"/>
              </w:rPr>
              <w:t>94.0%</w:t>
            </w:r>
          </w:p>
        </w:tc>
        <w:tc>
          <w:tcPr>
            <w:tcW w:type="dxa" w:w="1134"/>
          </w:tcPr>
          <w:p>
            <w:pPr>
              <w:jc w:val="center"/>
            </w:pPr>
            <w:r/>
            <w:r>
              <w:rPr>
                <w:rFonts w:ascii="Times New Roman" w:hAnsi="Times New Roman"/>
                <w:b/>
                <w:color w:val="CC0000"/>
                <w:sz w:val="17"/>
              </w:rPr>
              <w:t>0.929</w:t>
            </w:r>
          </w:p>
        </w:tc>
        <w:tc>
          <w:tcPr>
            <w:tcW w:type="dxa" w:w="1701"/>
          </w:tcPr>
          <w:p>
            <w:pPr>
              <w:jc w:val="center"/>
            </w:pPr>
            <w:r/>
            <w:r>
              <w:rPr>
                <w:rFonts w:ascii="Times New Roman" w:hAnsi="Times New Roman"/>
                <w:b/>
                <w:color w:val="CC0000"/>
                <w:sz w:val="17"/>
              </w:rPr>
              <w:t>Overturned</w:t>
            </w:r>
          </w:p>
        </w:tc>
        <w:tc>
          <w:tcPr>
            <w:tcW w:type="dxa" w:w="3402"/>
          </w:tcPr>
          <w:p>
            <w:pPr>
              <w:jc w:val="left"/>
            </w:pPr>
            <w:r/>
            <w:r>
              <w:rPr>
                <w:rFonts w:ascii="Times New Roman" w:hAnsi="Times New Roman"/>
                <w:b/>
                <w:color w:val="CC0000"/>
                <w:sz w:val="17"/>
              </w:rPr>
              <w:t>Band-order boundary — Band 6 &gt; Band 5</w:t>
            </w:r>
          </w:p>
        </w:tc>
      </w:tr>
      <w:tr>
        <w:tc>
          <w:tcPr>
            <w:tcW w:type="dxa" w:w="850"/>
          </w:tcPr>
          <w:p>
            <w:pPr>
              <w:jc w:val="center"/>
            </w:pPr>
            <w:r/>
            <w:r>
              <w:rPr>
                <w:rFonts w:ascii="Times New Roman" w:hAnsi="Times New Roman"/>
                <w:sz w:val="17"/>
              </w:rPr>
              <w:t>3.5%</w:t>
            </w:r>
          </w:p>
        </w:tc>
        <w:tc>
          <w:tcPr>
            <w:tcW w:type="dxa" w:w="850"/>
          </w:tcPr>
          <w:p>
            <w:pPr>
              <w:jc w:val="center"/>
            </w:pPr>
            <w:r/>
            <w:r>
              <w:rPr>
                <w:rFonts w:ascii="Times New Roman" w:hAnsi="Times New Roman"/>
                <w:sz w:val="17"/>
              </w:rPr>
              <w:t>3%</w:t>
            </w:r>
          </w:p>
        </w:tc>
        <w:tc>
          <w:tcPr>
            <w:tcW w:type="dxa" w:w="1134"/>
          </w:tcPr>
          <w:p>
            <w:pPr>
              <w:jc w:val="center"/>
            </w:pPr>
            <w:r/>
            <w:r>
              <w:rPr>
                <w:rFonts w:ascii="Times New Roman" w:hAnsi="Times New Roman"/>
                <w:sz w:val="17"/>
              </w:rPr>
              <w:t>93.5%</w:t>
            </w:r>
          </w:p>
        </w:tc>
        <w:tc>
          <w:tcPr>
            <w:tcW w:type="dxa" w:w="1134"/>
          </w:tcPr>
          <w:p>
            <w:pPr>
              <w:jc w:val="center"/>
            </w:pPr>
            <w:r/>
            <w:r>
              <w:rPr>
                <w:rFonts w:ascii="Times New Roman" w:hAnsi="Times New Roman"/>
                <w:sz w:val="17"/>
              </w:rPr>
              <w:t>0.917</w:t>
            </w:r>
          </w:p>
        </w:tc>
        <w:tc>
          <w:tcPr>
            <w:tcW w:type="dxa" w:w="1701"/>
          </w:tcPr>
          <w:p>
            <w:pPr>
              <w:jc w:val="center"/>
            </w:pPr>
            <w:r/>
            <w:r>
              <w:rPr>
                <w:rFonts w:ascii="Times New Roman" w:hAnsi="Times New Roman"/>
                <w:sz w:val="17"/>
              </w:rPr>
              <w:t>Overturned</w:t>
            </w:r>
          </w:p>
        </w:tc>
        <w:tc>
          <w:tcPr>
            <w:tcW w:type="dxa" w:w="3402"/>
          </w:tcPr>
          <w:p>
            <w:pPr>
              <w:jc w:val="left"/>
            </w:pPr>
            <w:r/>
            <w:r>
              <w:rPr>
                <w:rFonts w:ascii="Times New Roman" w:hAnsi="Times New Roman"/>
                <w:sz w:val="17"/>
              </w:rPr>
              <w:t>Bounded — band order already overturned</w:t>
            </w:r>
          </w:p>
        </w:tc>
      </w:tr>
      <w:tr>
        <w:tc>
          <w:tcPr>
            <w:tcW w:type="dxa" w:w="850"/>
          </w:tcPr>
          <w:p>
            <w:pPr>
              <w:jc w:val="center"/>
            </w:pPr>
            <w:r/>
            <w:r>
              <w:rPr>
                <w:rFonts w:ascii="Times New Roman" w:hAnsi="Times New Roman"/>
                <w:sz w:val="17"/>
              </w:rPr>
              <w:t>9.2%</w:t>
            </w:r>
          </w:p>
        </w:tc>
        <w:tc>
          <w:tcPr>
            <w:tcW w:type="dxa" w:w="850"/>
          </w:tcPr>
          <w:p>
            <w:pPr>
              <w:jc w:val="center"/>
            </w:pPr>
            <w:r/>
            <w:r>
              <w:rPr>
                <w:rFonts w:ascii="Times New Roman" w:hAnsi="Times New Roman"/>
                <w:sz w:val="17"/>
              </w:rPr>
              <w:t>3%</w:t>
            </w:r>
          </w:p>
        </w:tc>
        <w:tc>
          <w:tcPr>
            <w:tcW w:type="dxa" w:w="1134"/>
          </w:tcPr>
          <w:p>
            <w:pPr>
              <w:jc w:val="center"/>
            </w:pPr>
            <w:r/>
            <w:r>
              <w:rPr>
                <w:rFonts w:ascii="Times New Roman" w:hAnsi="Times New Roman"/>
                <w:sz w:val="17"/>
              </w:rPr>
              <w:t>87.8%</w:t>
            </w:r>
          </w:p>
        </w:tc>
        <w:tc>
          <w:tcPr>
            <w:tcW w:type="dxa" w:w="1134"/>
          </w:tcPr>
          <w:p>
            <w:pPr>
              <w:jc w:val="center"/>
            </w:pPr>
            <w:r/>
            <w:r>
              <w:rPr>
                <w:rFonts w:ascii="Times New Roman" w:hAnsi="Times New Roman"/>
                <w:sz w:val="17"/>
              </w:rPr>
              <w:t>0.696</w:t>
            </w:r>
          </w:p>
        </w:tc>
        <w:tc>
          <w:tcPr>
            <w:tcW w:type="dxa" w:w="1701"/>
          </w:tcPr>
          <w:p>
            <w:pPr>
              <w:jc w:val="center"/>
            </w:pPr>
            <w:r/>
            <w:r>
              <w:rPr>
                <w:rFonts w:ascii="Times New Roman" w:hAnsi="Times New Roman"/>
                <w:sz w:val="17"/>
              </w:rPr>
              <w:t>Overturned</w:t>
            </w:r>
          </w:p>
        </w:tc>
        <w:tc>
          <w:tcPr>
            <w:tcW w:type="dxa" w:w="3402"/>
          </w:tcPr>
          <w:p>
            <w:pPr>
              <w:jc w:val="left"/>
            </w:pPr>
            <w:r/>
            <w:r>
              <w:rPr>
                <w:rFonts w:ascii="Times New Roman" w:hAnsi="Times New Roman"/>
                <w:sz w:val="17"/>
              </w:rPr>
              <w:t>TSAC component overturn for China</w:t>
            </w:r>
          </w:p>
        </w:tc>
      </w:tr>
    </w:tbl>
    <w:p>
      <w:pPr>
        <w:jc w:val="center"/>
      </w:pPr>
      <w:r>
        <w:rPr>
          <w:rFonts w:ascii="Times New Roman" w:hAnsi="Times New Roman"/>
          <w:i/>
          <w:sz w:val="17"/>
        </w:rPr>
        <w:t>Table B. TSAC break-point summary (SOSAC = 3%, Spearman vs pure IUSAF)</w:t>
      </w:r>
    </w:p>
    <w:p>
      <w:pPr>
        <w:spacing w:after="240"/>
      </w:pPr>
      <w:r>
        <w:t>It may be noted that the Spearman safety floor of ρ = 0.80 does not bind at any policy-relevant TSAC setting. The lowest Spearman value in the negotiation range (TSAC 1.5–3.0%) is ρ = 0.929, well above the floor. The Spearman correlation declines as TSAC increases through the transition zone but remains high throughout the policy-relevant range. Band-order preservation, not Spearman, is the binding structural constraint.</w:t>
      </w:r>
    </w:p>
    <w:p>
      <w:pPr>
        <w:pStyle w:val="Heading2"/>
      </w:pPr>
      <w:r>
        <w:rPr>
          <w:rFonts w:ascii="Times New Roman" w:hAnsi="Times New Roman"/>
        </w:rPr>
        <w:t>Ranking Trajectory</w:t>
      </w:r>
    </w:p>
    <w:p>
      <w:pPr>
        <w:spacing w:after="120"/>
      </w:pPr>
      <w:r>
        <w:t>Table C shows the full ranking trajectory as TSAC increases from 0% to 10% at 0.5 percentage point intervals, with the Gini coefficient, Spearman correlation, and band-order status at each step.</w:t>
      </w:r>
    </w:p>
    <w:tbl>
      <w:tblPr>
        <w:tblStyle w:val="TableGrid"/>
        <w:tblW w:type="auto" w:w="0"/>
        <w:jc w:val="center"/>
        <w:tblLook w:firstColumn="1" w:firstRow="1" w:lastColumn="0" w:lastRow="0" w:noHBand="0" w:noVBand="1" w:val="04A0"/>
      </w:tblPr>
      <w:tblGrid>
        <w:gridCol w:w="1344"/>
        <w:gridCol w:w="1344"/>
        <w:gridCol w:w="1344"/>
        <w:gridCol w:w="1344"/>
        <w:gridCol w:w="1344"/>
        <w:gridCol w:w="1344"/>
        <w:gridCol w:w="1344"/>
      </w:tblGrid>
      <w:tr>
        <w:tc>
          <w:tcPr>
            <w:tcW w:type="dxa" w:w="850"/>
            <w:shd w:fill="D9D9D9"/>
          </w:tcPr>
          <w:p>
            <w:pPr>
              <w:jc w:val="center"/>
            </w:pPr>
            <w:r/>
            <w:r>
              <w:rPr>
                <w:rFonts w:ascii="Times New Roman" w:hAnsi="Times New Roman"/>
                <w:b/>
                <w:sz w:val="17"/>
              </w:rPr>
              <w:t>TSAC %</w:t>
            </w:r>
          </w:p>
        </w:tc>
        <w:tc>
          <w:tcPr>
            <w:tcW w:type="dxa" w:w="850"/>
            <w:shd w:fill="D9D9D9"/>
          </w:tcPr>
          <w:p>
            <w:pPr>
              <w:jc w:val="center"/>
            </w:pPr>
            <w:r/>
            <w:r>
              <w:rPr>
                <w:rFonts w:ascii="Times New Roman" w:hAnsi="Times New Roman"/>
                <w:b/>
                <w:sz w:val="17"/>
              </w:rPr>
              <w:t>IUSAF %</w:t>
            </w:r>
          </w:p>
        </w:tc>
        <w:tc>
          <w:tcPr>
            <w:tcW w:type="dxa" w:w="1134"/>
            <w:shd w:fill="D9D9D9"/>
          </w:tcPr>
          <w:p>
            <w:pPr>
              <w:jc w:val="center"/>
            </w:pPr>
            <w:r/>
            <w:r>
              <w:rPr>
                <w:rFonts w:ascii="Times New Roman" w:hAnsi="Times New Roman"/>
                <w:b/>
                <w:sz w:val="17"/>
              </w:rPr>
              <w:t>Spearman ρ</w:t>
            </w:r>
          </w:p>
        </w:tc>
        <w:tc>
          <w:tcPr>
            <w:tcW w:type="dxa" w:w="850"/>
            <w:shd w:fill="D9D9D9"/>
          </w:tcPr>
          <w:p>
            <w:pPr>
              <w:jc w:val="center"/>
            </w:pPr>
            <w:r/>
            <w:r>
              <w:rPr>
                <w:rFonts w:ascii="Times New Roman" w:hAnsi="Times New Roman"/>
                <w:b/>
                <w:sz w:val="17"/>
              </w:rPr>
              <w:t>Gini</w:t>
            </w:r>
          </w:p>
        </w:tc>
        <w:tc>
          <w:tcPr>
            <w:tcW w:type="dxa" w:w="1134"/>
            <w:shd w:fill="D9D9D9"/>
          </w:tcPr>
          <w:p>
            <w:pPr>
              <w:jc w:val="center"/>
            </w:pPr>
            <w:r/>
            <w:r>
              <w:rPr>
                <w:rFonts w:ascii="Times New Roman" w:hAnsi="Times New Roman"/>
                <w:b/>
                <w:sz w:val="17"/>
              </w:rPr>
              <w:t>Band 6</w:t>
            </w:r>
            <w:r>
              <w:br/>
            </w:r>
            <w:r>
              <w:rPr>
                <w:rFonts w:ascii="Times New Roman" w:hAnsi="Times New Roman"/>
                <w:b/>
                <w:sz w:val="17"/>
              </w:rPr>
              <w:t>mean ($M)</w:t>
            </w:r>
          </w:p>
        </w:tc>
        <w:tc>
          <w:tcPr>
            <w:tcW w:type="dxa" w:w="1134"/>
            <w:shd w:fill="D9D9D9"/>
          </w:tcPr>
          <w:p>
            <w:pPr>
              <w:jc w:val="center"/>
            </w:pPr>
            <w:r/>
            <w:r>
              <w:rPr>
                <w:rFonts w:ascii="Times New Roman" w:hAnsi="Times New Roman"/>
                <w:b/>
                <w:sz w:val="17"/>
              </w:rPr>
              <w:t>Band 5</w:t>
            </w:r>
            <w:r>
              <w:br/>
            </w:r>
            <w:r>
              <w:rPr>
                <w:rFonts w:ascii="Times New Roman" w:hAnsi="Times New Roman"/>
                <w:b/>
                <w:sz w:val="17"/>
              </w:rPr>
              <w:t>mean ($M)</w:t>
            </w:r>
          </w:p>
        </w:tc>
        <w:tc>
          <w:tcPr>
            <w:tcW w:type="dxa" w:w="1417"/>
            <w:shd w:fill="D9D9D9"/>
          </w:tcPr>
          <w:p>
            <w:pPr>
              <w:jc w:val="center"/>
            </w:pPr>
            <w:r/>
            <w:r>
              <w:rPr>
                <w:rFonts w:ascii="Times New Roman" w:hAnsi="Times New Roman"/>
                <w:b/>
                <w:sz w:val="17"/>
              </w:rPr>
              <w:t>Band Order</w:t>
            </w:r>
          </w:p>
        </w:tc>
      </w:tr>
      <w:tr>
        <w:tc>
          <w:tcPr>
            <w:tcW w:type="dxa" w:w="850"/>
          </w:tcPr>
          <w:p>
            <w:pPr>
              <w:jc w:val="center"/>
            </w:pPr>
            <w:r/>
            <w:r>
              <w:rPr>
                <w:rFonts w:ascii="Times New Roman" w:hAnsi="Times New Roman"/>
                <w:sz w:val="17"/>
              </w:rPr>
              <w:t>0.0</w:t>
            </w:r>
          </w:p>
        </w:tc>
        <w:tc>
          <w:tcPr>
            <w:tcW w:type="dxa" w:w="850"/>
          </w:tcPr>
          <w:p>
            <w:pPr>
              <w:jc w:val="center"/>
            </w:pPr>
            <w:r/>
            <w:r>
              <w:rPr>
                <w:rFonts w:ascii="Times New Roman" w:hAnsi="Times New Roman"/>
                <w:sz w:val="17"/>
              </w:rPr>
              <w:t>97.0</w:t>
            </w:r>
          </w:p>
        </w:tc>
        <w:tc>
          <w:tcPr>
            <w:tcW w:type="dxa" w:w="1134"/>
          </w:tcPr>
          <w:p>
            <w:pPr>
              <w:jc w:val="center"/>
            </w:pPr>
            <w:r/>
            <w:r>
              <w:rPr>
                <w:rFonts w:ascii="Times New Roman" w:hAnsi="Times New Roman"/>
                <w:sz w:val="17"/>
              </w:rPr>
              <w:t>0.977</w:t>
            </w:r>
          </w:p>
        </w:tc>
        <w:tc>
          <w:tcPr>
            <w:tcW w:type="dxa" w:w="850"/>
          </w:tcPr>
          <w:p>
            <w:pPr>
              <w:jc w:val="center"/>
            </w:pPr>
            <w:r/>
            <w:r>
              <w:rPr>
                <w:rFonts w:ascii="Times New Roman" w:hAnsi="Times New Roman"/>
                <w:sz w:val="17"/>
              </w:rPr>
              <w:t>0.1011</w:t>
            </w:r>
          </w:p>
        </w:tc>
        <w:tc>
          <w:tcPr>
            <w:tcW w:type="dxa" w:w="1134"/>
          </w:tcPr>
          <w:p>
            <w:pPr>
              <w:jc w:val="center"/>
            </w:pPr>
            <w:r/>
            <w:r>
              <w:rPr>
                <w:rFonts w:ascii="Times New Roman" w:hAnsi="Times New Roman"/>
                <w:sz w:val="17"/>
              </w:rPr>
              <w:t>2.21</w:t>
            </w:r>
          </w:p>
        </w:tc>
        <w:tc>
          <w:tcPr>
            <w:tcW w:type="dxa" w:w="1134"/>
          </w:tcPr>
          <w:p>
            <w:pPr>
              <w:jc w:val="center"/>
            </w:pPr>
            <w:r/>
            <w:r>
              <w:rPr>
                <w:rFonts w:ascii="Times New Roman" w:hAnsi="Times New Roman"/>
                <w:sz w:val="17"/>
              </w:rPr>
              <w:t>4.13</w:t>
            </w:r>
          </w:p>
        </w:tc>
        <w:tc>
          <w:tcPr>
            <w:tcW w:type="dxa" w:w="1417"/>
          </w:tcPr>
          <w:p>
            <w:pPr>
              <w:jc w:val="left"/>
            </w:pPr>
            <w:r/>
            <w:r>
              <w:rPr>
                <w:rFonts w:ascii="Times New Roman" w:hAnsi="Times New Roman"/>
                <w:sz w:val="17"/>
              </w:rPr>
              <w:t>Preserved</w:t>
            </w:r>
          </w:p>
        </w:tc>
      </w:tr>
      <w:tr>
        <w:tc>
          <w:tcPr>
            <w:tcW w:type="dxa" w:w="850"/>
          </w:tcPr>
          <w:p>
            <w:pPr>
              <w:jc w:val="center"/>
            </w:pPr>
            <w:r/>
            <w:r>
              <w:rPr>
                <w:rFonts w:ascii="Times New Roman" w:hAnsi="Times New Roman"/>
                <w:sz w:val="17"/>
              </w:rPr>
              <w:t>0.5</w:t>
            </w:r>
          </w:p>
        </w:tc>
        <w:tc>
          <w:tcPr>
            <w:tcW w:type="dxa" w:w="850"/>
          </w:tcPr>
          <w:p>
            <w:pPr>
              <w:jc w:val="center"/>
            </w:pPr>
            <w:r/>
            <w:r>
              <w:rPr>
                <w:rFonts w:ascii="Times New Roman" w:hAnsi="Times New Roman"/>
                <w:sz w:val="17"/>
              </w:rPr>
              <w:t>96.5</w:t>
            </w:r>
          </w:p>
        </w:tc>
        <w:tc>
          <w:tcPr>
            <w:tcW w:type="dxa" w:w="1134"/>
          </w:tcPr>
          <w:p>
            <w:pPr>
              <w:jc w:val="center"/>
            </w:pPr>
            <w:r/>
            <w:r>
              <w:rPr>
                <w:rFonts w:ascii="Times New Roman" w:hAnsi="Times New Roman"/>
                <w:sz w:val="17"/>
              </w:rPr>
              <w:t>0.952</w:t>
            </w:r>
          </w:p>
        </w:tc>
        <w:tc>
          <w:tcPr>
            <w:tcW w:type="dxa" w:w="850"/>
          </w:tcPr>
          <w:p>
            <w:pPr>
              <w:jc w:val="center"/>
            </w:pPr>
            <w:r/>
            <w:r>
              <w:rPr>
                <w:rFonts w:ascii="Times New Roman" w:hAnsi="Times New Roman"/>
                <w:sz w:val="17"/>
              </w:rPr>
              <w:t>0.0984</w:t>
            </w:r>
          </w:p>
        </w:tc>
        <w:tc>
          <w:tcPr>
            <w:tcW w:type="dxa" w:w="1134"/>
          </w:tcPr>
          <w:p>
            <w:pPr>
              <w:jc w:val="center"/>
            </w:pPr>
            <w:r/>
            <w:r>
              <w:rPr>
                <w:rFonts w:ascii="Times New Roman" w:hAnsi="Times New Roman"/>
                <w:sz w:val="17"/>
              </w:rPr>
              <w:t>2.79</w:t>
            </w:r>
          </w:p>
        </w:tc>
        <w:tc>
          <w:tcPr>
            <w:tcW w:type="dxa" w:w="1134"/>
          </w:tcPr>
          <w:p>
            <w:pPr>
              <w:jc w:val="center"/>
            </w:pPr>
            <w:r/>
            <w:r>
              <w:rPr>
                <w:rFonts w:ascii="Times New Roman" w:hAnsi="Times New Roman"/>
                <w:sz w:val="17"/>
              </w:rPr>
              <w:t>4.40</w:t>
            </w:r>
          </w:p>
        </w:tc>
        <w:tc>
          <w:tcPr>
            <w:tcW w:type="dxa" w:w="1417"/>
          </w:tcPr>
          <w:p>
            <w:pPr>
              <w:jc w:val="left"/>
            </w:pPr>
            <w:r/>
            <w:r>
              <w:rPr>
                <w:rFonts w:ascii="Times New Roman" w:hAnsi="Times New Roman"/>
                <w:sz w:val="17"/>
              </w:rPr>
              <w:t>Preserved</w:t>
            </w:r>
          </w:p>
        </w:tc>
      </w:tr>
      <w:tr>
        <w:tc>
          <w:tcPr>
            <w:tcW w:type="dxa" w:w="850"/>
          </w:tcPr>
          <w:p>
            <w:pPr>
              <w:jc w:val="center"/>
            </w:pPr>
            <w:r/>
            <w:r>
              <w:rPr>
                <w:rFonts w:ascii="Times New Roman" w:hAnsi="Times New Roman"/>
                <w:sz w:val="17"/>
              </w:rPr>
              <w:t>1.0</w:t>
            </w:r>
          </w:p>
        </w:tc>
        <w:tc>
          <w:tcPr>
            <w:tcW w:type="dxa" w:w="850"/>
          </w:tcPr>
          <w:p>
            <w:pPr>
              <w:jc w:val="center"/>
            </w:pPr>
            <w:r/>
            <w:r>
              <w:rPr>
                <w:rFonts w:ascii="Times New Roman" w:hAnsi="Times New Roman"/>
                <w:sz w:val="17"/>
              </w:rPr>
              <w:t>96.0</w:t>
            </w:r>
          </w:p>
        </w:tc>
        <w:tc>
          <w:tcPr>
            <w:tcW w:type="dxa" w:w="1134"/>
          </w:tcPr>
          <w:p>
            <w:pPr>
              <w:jc w:val="center"/>
            </w:pPr>
            <w:r/>
            <w:r>
              <w:rPr>
                <w:rFonts w:ascii="Times New Roman" w:hAnsi="Times New Roman"/>
                <w:sz w:val="17"/>
              </w:rPr>
              <w:t>0.952</w:t>
            </w:r>
          </w:p>
        </w:tc>
        <w:tc>
          <w:tcPr>
            <w:tcW w:type="dxa" w:w="850"/>
          </w:tcPr>
          <w:p>
            <w:pPr>
              <w:jc w:val="center"/>
            </w:pPr>
            <w:r/>
            <w:r>
              <w:rPr>
                <w:rFonts w:ascii="Times New Roman" w:hAnsi="Times New Roman"/>
                <w:sz w:val="17"/>
              </w:rPr>
              <w:t>0.0958</w:t>
            </w:r>
          </w:p>
        </w:tc>
        <w:tc>
          <w:tcPr>
            <w:tcW w:type="dxa" w:w="1134"/>
          </w:tcPr>
          <w:p>
            <w:pPr>
              <w:jc w:val="center"/>
            </w:pPr>
            <w:r/>
            <w:r>
              <w:rPr>
                <w:rFonts w:ascii="Times New Roman" w:hAnsi="Times New Roman"/>
                <w:sz w:val="17"/>
              </w:rPr>
              <w:t>3.38</w:t>
            </w:r>
          </w:p>
        </w:tc>
        <w:tc>
          <w:tcPr>
            <w:tcW w:type="dxa" w:w="1134"/>
          </w:tcPr>
          <w:p>
            <w:pPr>
              <w:jc w:val="center"/>
            </w:pPr>
            <w:r/>
            <w:r>
              <w:rPr>
                <w:rFonts w:ascii="Times New Roman" w:hAnsi="Times New Roman"/>
                <w:sz w:val="17"/>
              </w:rPr>
              <w:t>4.66</w:t>
            </w:r>
          </w:p>
        </w:tc>
        <w:tc>
          <w:tcPr>
            <w:tcW w:type="dxa" w:w="1417"/>
          </w:tcPr>
          <w:p>
            <w:pPr>
              <w:jc w:val="left"/>
            </w:pPr>
            <w:r/>
            <w:r>
              <w:rPr>
                <w:rFonts w:ascii="Times New Roman" w:hAnsi="Times New Roman"/>
                <w:sz w:val="17"/>
              </w:rPr>
              <w:t>Preserved</w:t>
            </w:r>
          </w:p>
        </w:tc>
      </w:tr>
      <w:tr>
        <w:tc>
          <w:tcPr>
            <w:tcW w:type="dxa" w:w="850"/>
          </w:tcPr>
          <w:p>
            <w:pPr>
              <w:jc w:val="center"/>
            </w:pPr>
            <w:r/>
            <w:r>
              <w:rPr>
                <w:rFonts w:ascii="Times New Roman" w:hAnsi="Times New Roman"/>
                <w:sz w:val="17"/>
              </w:rPr>
              <w:t>1.5</w:t>
            </w:r>
          </w:p>
        </w:tc>
        <w:tc>
          <w:tcPr>
            <w:tcW w:type="dxa" w:w="850"/>
          </w:tcPr>
          <w:p>
            <w:pPr>
              <w:jc w:val="center"/>
            </w:pPr>
            <w:r/>
            <w:r>
              <w:rPr>
                <w:rFonts w:ascii="Times New Roman" w:hAnsi="Times New Roman"/>
                <w:sz w:val="17"/>
              </w:rPr>
              <w:t>95.5</w:t>
            </w:r>
          </w:p>
        </w:tc>
        <w:tc>
          <w:tcPr>
            <w:tcW w:type="dxa" w:w="1134"/>
          </w:tcPr>
          <w:p>
            <w:pPr>
              <w:jc w:val="center"/>
            </w:pPr>
            <w:r/>
            <w:r>
              <w:rPr>
                <w:rFonts w:ascii="Times New Roman" w:hAnsi="Times New Roman"/>
                <w:sz w:val="17"/>
              </w:rPr>
              <w:t>0.951</w:t>
            </w:r>
          </w:p>
        </w:tc>
        <w:tc>
          <w:tcPr>
            <w:tcW w:type="dxa" w:w="850"/>
          </w:tcPr>
          <w:p>
            <w:pPr>
              <w:jc w:val="center"/>
            </w:pPr>
            <w:r/>
            <w:r>
              <w:rPr>
                <w:rFonts w:ascii="Times New Roman" w:hAnsi="Times New Roman"/>
                <w:sz w:val="17"/>
              </w:rPr>
              <w:t>0.0933</w:t>
            </w:r>
          </w:p>
        </w:tc>
        <w:tc>
          <w:tcPr>
            <w:tcW w:type="dxa" w:w="1134"/>
          </w:tcPr>
          <w:p>
            <w:pPr>
              <w:jc w:val="center"/>
            </w:pPr>
            <w:r/>
            <w:r>
              <w:rPr>
                <w:rFonts w:ascii="Times New Roman" w:hAnsi="Times New Roman"/>
                <w:sz w:val="17"/>
              </w:rPr>
              <w:t>3.97</w:t>
            </w:r>
          </w:p>
        </w:tc>
        <w:tc>
          <w:tcPr>
            <w:tcW w:type="dxa" w:w="1134"/>
          </w:tcPr>
          <w:p>
            <w:pPr>
              <w:jc w:val="center"/>
            </w:pPr>
            <w:r/>
            <w:r>
              <w:rPr>
                <w:rFonts w:ascii="Times New Roman" w:hAnsi="Times New Roman"/>
                <w:sz w:val="17"/>
              </w:rPr>
              <w:t>4.92</w:t>
            </w:r>
          </w:p>
        </w:tc>
        <w:tc>
          <w:tcPr>
            <w:tcW w:type="dxa" w:w="1417"/>
          </w:tcPr>
          <w:p>
            <w:pPr>
              <w:jc w:val="left"/>
            </w:pPr>
            <w:r/>
            <w:r>
              <w:rPr>
                <w:rFonts w:ascii="Times New Roman" w:hAnsi="Times New Roman"/>
                <w:sz w:val="17"/>
              </w:rPr>
              <w:t>Preserved</w:t>
            </w:r>
          </w:p>
        </w:tc>
      </w:tr>
      <w:tr>
        <w:tc>
          <w:tcPr>
            <w:tcW w:type="dxa" w:w="850"/>
          </w:tcPr>
          <w:p>
            <w:pPr>
              <w:jc w:val="center"/>
            </w:pPr>
            <w:r/>
            <w:r>
              <w:rPr>
                <w:rFonts w:ascii="Times New Roman" w:hAnsi="Times New Roman"/>
                <w:sz w:val="17"/>
              </w:rPr>
              <w:t>2.0</w:t>
            </w:r>
          </w:p>
        </w:tc>
        <w:tc>
          <w:tcPr>
            <w:tcW w:type="dxa" w:w="850"/>
          </w:tcPr>
          <w:p>
            <w:pPr>
              <w:jc w:val="center"/>
            </w:pPr>
            <w:r/>
            <w:r>
              <w:rPr>
                <w:rFonts w:ascii="Times New Roman" w:hAnsi="Times New Roman"/>
                <w:sz w:val="17"/>
              </w:rPr>
              <w:t>95.0</w:t>
            </w:r>
          </w:p>
        </w:tc>
        <w:tc>
          <w:tcPr>
            <w:tcW w:type="dxa" w:w="1134"/>
          </w:tcPr>
          <w:p>
            <w:pPr>
              <w:jc w:val="center"/>
            </w:pPr>
            <w:r/>
            <w:r>
              <w:rPr>
                <w:rFonts w:ascii="Times New Roman" w:hAnsi="Times New Roman"/>
                <w:sz w:val="17"/>
              </w:rPr>
              <w:t>0.948</w:t>
            </w:r>
          </w:p>
        </w:tc>
        <w:tc>
          <w:tcPr>
            <w:tcW w:type="dxa" w:w="850"/>
          </w:tcPr>
          <w:p>
            <w:pPr>
              <w:jc w:val="center"/>
            </w:pPr>
            <w:r/>
            <w:r>
              <w:rPr>
                <w:rFonts w:ascii="Times New Roman" w:hAnsi="Times New Roman"/>
                <w:sz w:val="17"/>
              </w:rPr>
              <w:t>0.0909</w:t>
            </w:r>
          </w:p>
        </w:tc>
        <w:tc>
          <w:tcPr>
            <w:tcW w:type="dxa" w:w="1134"/>
          </w:tcPr>
          <w:p>
            <w:pPr>
              <w:jc w:val="center"/>
            </w:pPr>
            <w:r/>
            <w:r>
              <w:rPr>
                <w:rFonts w:ascii="Times New Roman" w:hAnsi="Times New Roman"/>
                <w:sz w:val="17"/>
              </w:rPr>
              <w:t>4.56</w:t>
            </w:r>
          </w:p>
        </w:tc>
        <w:tc>
          <w:tcPr>
            <w:tcW w:type="dxa" w:w="1134"/>
          </w:tcPr>
          <w:p>
            <w:pPr>
              <w:jc w:val="center"/>
            </w:pPr>
            <w:r/>
            <w:r>
              <w:rPr>
                <w:rFonts w:ascii="Times New Roman" w:hAnsi="Times New Roman"/>
                <w:sz w:val="17"/>
              </w:rPr>
              <w:t>5.18</w:t>
            </w:r>
          </w:p>
        </w:tc>
        <w:tc>
          <w:tcPr>
            <w:tcW w:type="dxa" w:w="1417"/>
          </w:tcPr>
          <w:p>
            <w:pPr>
              <w:jc w:val="left"/>
            </w:pPr>
            <w:r/>
            <w:r>
              <w:rPr>
                <w:rFonts w:ascii="Times New Roman" w:hAnsi="Times New Roman"/>
                <w:sz w:val="17"/>
              </w:rPr>
              <w:t>Preserved</w:t>
            </w:r>
          </w:p>
        </w:tc>
      </w:tr>
      <w:tr>
        <w:tc>
          <w:tcPr>
            <w:tcW w:type="dxa" w:w="850"/>
            <w:shd w:fill="D4EDDA"/>
          </w:tcPr>
          <w:p>
            <w:pPr>
              <w:jc w:val="center"/>
            </w:pPr>
            <w:r/>
            <w:r>
              <w:rPr>
                <w:rFonts w:ascii="Times New Roman" w:hAnsi="Times New Roman"/>
                <w:b/>
                <w:sz w:val="17"/>
              </w:rPr>
              <w:t>2.5</w:t>
            </w:r>
          </w:p>
        </w:tc>
        <w:tc>
          <w:tcPr>
            <w:tcW w:type="dxa" w:w="850"/>
            <w:shd w:fill="D4EDDA"/>
          </w:tcPr>
          <w:p>
            <w:pPr>
              <w:jc w:val="center"/>
            </w:pPr>
            <w:r/>
            <w:r>
              <w:rPr>
                <w:rFonts w:ascii="Times New Roman" w:hAnsi="Times New Roman"/>
                <w:b/>
                <w:sz w:val="17"/>
              </w:rPr>
              <w:t>94.5</w:t>
            </w:r>
          </w:p>
        </w:tc>
        <w:tc>
          <w:tcPr>
            <w:tcW w:type="dxa" w:w="1134"/>
            <w:shd w:fill="D4EDDA"/>
          </w:tcPr>
          <w:p>
            <w:pPr>
              <w:jc w:val="center"/>
            </w:pPr>
            <w:r/>
            <w:r>
              <w:rPr>
                <w:rFonts w:ascii="Times New Roman" w:hAnsi="Times New Roman"/>
                <w:b/>
                <w:sz w:val="17"/>
              </w:rPr>
              <w:t>0.945</w:t>
            </w:r>
          </w:p>
        </w:tc>
        <w:tc>
          <w:tcPr>
            <w:tcW w:type="dxa" w:w="850"/>
            <w:shd w:fill="D4EDDA"/>
          </w:tcPr>
          <w:p>
            <w:pPr>
              <w:jc w:val="center"/>
            </w:pPr>
            <w:r/>
            <w:r>
              <w:rPr>
                <w:rFonts w:ascii="Times New Roman" w:hAnsi="Times New Roman"/>
                <w:b/>
                <w:sz w:val="17"/>
              </w:rPr>
              <w:t>0.0886</w:t>
            </w:r>
          </w:p>
        </w:tc>
        <w:tc>
          <w:tcPr>
            <w:tcW w:type="dxa" w:w="1134"/>
            <w:shd w:fill="D4EDDA"/>
          </w:tcPr>
          <w:p>
            <w:pPr>
              <w:jc w:val="center"/>
            </w:pPr>
            <w:r/>
            <w:r>
              <w:rPr>
                <w:rFonts w:ascii="Times New Roman" w:hAnsi="Times New Roman"/>
                <w:b/>
                <w:sz w:val="17"/>
              </w:rPr>
              <w:t>5.15</w:t>
            </w:r>
          </w:p>
        </w:tc>
        <w:tc>
          <w:tcPr>
            <w:tcW w:type="dxa" w:w="1134"/>
            <w:shd w:fill="D4EDDA"/>
          </w:tcPr>
          <w:p>
            <w:pPr>
              <w:jc w:val="center"/>
            </w:pPr>
            <w:r/>
            <w:r>
              <w:rPr>
                <w:rFonts w:ascii="Times New Roman" w:hAnsi="Times New Roman"/>
                <w:b/>
                <w:sz w:val="17"/>
              </w:rPr>
              <w:t>5.44</w:t>
            </w:r>
          </w:p>
        </w:tc>
        <w:tc>
          <w:tcPr>
            <w:tcW w:type="dxa" w:w="1417"/>
            <w:shd w:fill="D4EDDA"/>
          </w:tcPr>
          <w:p>
            <w:pPr>
              <w:jc w:val="left"/>
            </w:pPr>
            <w:r/>
            <w:r>
              <w:rPr>
                <w:rFonts w:ascii="Times New Roman" w:hAnsi="Times New Roman"/>
                <w:b/>
                <w:sz w:val="17"/>
              </w:rPr>
              <w:t>Preserved</w:t>
            </w:r>
          </w:p>
        </w:tc>
      </w:tr>
      <w:tr>
        <w:tc>
          <w:tcPr>
            <w:tcW w:type="dxa" w:w="850"/>
          </w:tcPr>
          <w:p>
            <w:pPr>
              <w:jc w:val="center"/>
            </w:pPr>
            <w:r/>
            <w:r>
              <w:rPr>
                <w:rFonts w:ascii="Times New Roman" w:hAnsi="Times New Roman"/>
                <w:b/>
                <w:color w:val="CC0000"/>
                <w:sz w:val="17"/>
              </w:rPr>
              <w:t>3.0</w:t>
            </w:r>
          </w:p>
        </w:tc>
        <w:tc>
          <w:tcPr>
            <w:tcW w:type="dxa" w:w="850"/>
          </w:tcPr>
          <w:p>
            <w:pPr>
              <w:jc w:val="center"/>
            </w:pPr>
            <w:r/>
            <w:r>
              <w:rPr>
                <w:rFonts w:ascii="Times New Roman" w:hAnsi="Times New Roman"/>
                <w:b/>
                <w:color w:val="CC0000"/>
                <w:sz w:val="17"/>
              </w:rPr>
              <w:t>94.0</w:t>
            </w:r>
          </w:p>
        </w:tc>
        <w:tc>
          <w:tcPr>
            <w:tcW w:type="dxa" w:w="1134"/>
          </w:tcPr>
          <w:p>
            <w:pPr>
              <w:jc w:val="center"/>
            </w:pPr>
            <w:r/>
            <w:r>
              <w:rPr>
                <w:rFonts w:ascii="Times New Roman" w:hAnsi="Times New Roman"/>
                <w:b/>
                <w:color w:val="CC0000"/>
                <w:sz w:val="17"/>
              </w:rPr>
              <w:t>0.929</w:t>
            </w:r>
          </w:p>
        </w:tc>
        <w:tc>
          <w:tcPr>
            <w:tcW w:type="dxa" w:w="850"/>
          </w:tcPr>
          <w:p>
            <w:pPr>
              <w:jc w:val="center"/>
            </w:pPr>
            <w:r/>
            <w:r>
              <w:rPr>
                <w:rFonts w:ascii="Times New Roman" w:hAnsi="Times New Roman"/>
                <w:b/>
                <w:color w:val="CC0000"/>
                <w:sz w:val="17"/>
              </w:rPr>
              <w:t>0.0866</w:t>
            </w:r>
          </w:p>
        </w:tc>
        <w:tc>
          <w:tcPr>
            <w:tcW w:type="dxa" w:w="1134"/>
          </w:tcPr>
          <w:p>
            <w:pPr>
              <w:jc w:val="center"/>
            </w:pPr>
            <w:r/>
            <w:r>
              <w:rPr>
                <w:rFonts w:ascii="Times New Roman" w:hAnsi="Times New Roman"/>
                <w:b/>
                <w:color w:val="CC0000"/>
                <w:sz w:val="17"/>
              </w:rPr>
              <w:t>5.74</w:t>
            </w:r>
          </w:p>
        </w:tc>
        <w:tc>
          <w:tcPr>
            <w:tcW w:type="dxa" w:w="1134"/>
          </w:tcPr>
          <w:p>
            <w:pPr>
              <w:jc w:val="center"/>
            </w:pPr>
            <w:r/>
            <w:r>
              <w:rPr>
                <w:rFonts w:ascii="Times New Roman" w:hAnsi="Times New Roman"/>
                <w:b/>
                <w:color w:val="CC0000"/>
                <w:sz w:val="17"/>
              </w:rPr>
              <w:t>5.70</w:t>
            </w:r>
          </w:p>
        </w:tc>
        <w:tc>
          <w:tcPr>
            <w:tcW w:type="dxa" w:w="1417"/>
          </w:tcPr>
          <w:p>
            <w:pPr>
              <w:jc w:val="left"/>
            </w:pPr>
            <w:r/>
            <w:r>
              <w:rPr>
                <w:rFonts w:ascii="Times New Roman" w:hAnsi="Times New Roman"/>
                <w:b/>
                <w:color w:val="CC0000"/>
                <w:sz w:val="17"/>
              </w:rPr>
              <w:t>Overturned</w:t>
            </w:r>
          </w:p>
        </w:tc>
      </w:tr>
      <w:tr>
        <w:tc>
          <w:tcPr>
            <w:tcW w:type="dxa" w:w="850"/>
          </w:tcPr>
          <w:p>
            <w:pPr>
              <w:jc w:val="center"/>
            </w:pPr>
            <w:r/>
            <w:r>
              <w:rPr>
                <w:rFonts w:ascii="Times New Roman" w:hAnsi="Times New Roman"/>
                <w:sz w:val="17"/>
              </w:rPr>
              <w:t>3.5</w:t>
            </w:r>
          </w:p>
        </w:tc>
        <w:tc>
          <w:tcPr>
            <w:tcW w:type="dxa" w:w="850"/>
          </w:tcPr>
          <w:p>
            <w:pPr>
              <w:jc w:val="center"/>
            </w:pPr>
            <w:r/>
            <w:r>
              <w:rPr>
                <w:rFonts w:ascii="Times New Roman" w:hAnsi="Times New Roman"/>
                <w:sz w:val="17"/>
              </w:rPr>
              <w:t>93.5</w:t>
            </w:r>
          </w:p>
        </w:tc>
        <w:tc>
          <w:tcPr>
            <w:tcW w:type="dxa" w:w="1134"/>
          </w:tcPr>
          <w:p>
            <w:pPr>
              <w:jc w:val="center"/>
            </w:pPr>
            <w:r/>
            <w:r>
              <w:rPr>
                <w:rFonts w:ascii="Times New Roman" w:hAnsi="Times New Roman"/>
                <w:sz w:val="17"/>
              </w:rPr>
              <w:t>0.917</w:t>
            </w:r>
          </w:p>
        </w:tc>
        <w:tc>
          <w:tcPr>
            <w:tcW w:type="dxa" w:w="850"/>
          </w:tcPr>
          <w:p>
            <w:pPr>
              <w:jc w:val="center"/>
            </w:pPr>
            <w:r/>
            <w:r>
              <w:rPr>
                <w:rFonts w:ascii="Times New Roman" w:hAnsi="Times New Roman"/>
                <w:sz w:val="17"/>
              </w:rPr>
              <w:t>0.0851</w:t>
            </w:r>
          </w:p>
        </w:tc>
        <w:tc>
          <w:tcPr>
            <w:tcW w:type="dxa" w:w="1134"/>
          </w:tcPr>
          <w:p>
            <w:pPr>
              <w:jc w:val="center"/>
            </w:pPr>
            <w:r/>
            <w:r>
              <w:rPr>
                <w:rFonts w:ascii="Times New Roman" w:hAnsi="Times New Roman"/>
                <w:sz w:val="17"/>
              </w:rPr>
              <w:t>6.33</w:t>
            </w:r>
          </w:p>
        </w:tc>
        <w:tc>
          <w:tcPr>
            <w:tcW w:type="dxa" w:w="1134"/>
          </w:tcPr>
          <w:p>
            <w:pPr>
              <w:jc w:val="center"/>
            </w:pPr>
            <w:r/>
            <w:r>
              <w:rPr>
                <w:rFonts w:ascii="Times New Roman" w:hAnsi="Times New Roman"/>
                <w:sz w:val="17"/>
              </w:rPr>
              <w:t>5.97</w:t>
            </w:r>
          </w:p>
        </w:tc>
        <w:tc>
          <w:tcPr>
            <w:tcW w:type="dxa" w:w="1417"/>
          </w:tcPr>
          <w:p>
            <w:pPr>
              <w:jc w:val="left"/>
            </w:pPr>
            <w:r/>
            <w:r>
              <w:rPr>
                <w:rFonts w:ascii="Times New Roman" w:hAnsi="Times New Roman"/>
                <w:sz w:val="17"/>
              </w:rPr>
              <w:t>Overturned</w:t>
            </w:r>
          </w:p>
        </w:tc>
      </w:tr>
      <w:tr>
        <w:tc>
          <w:tcPr>
            <w:tcW w:type="dxa" w:w="850"/>
          </w:tcPr>
          <w:p>
            <w:pPr>
              <w:jc w:val="center"/>
            </w:pPr>
            <w:r/>
            <w:r>
              <w:rPr>
                <w:rFonts w:ascii="Times New Roman" w:hAnsi="Times New Roman"/>
                <w:sz w:val="17"/>
              </w:rPr>
              <w:t>4.0</w:t>
            </w:r>
          </w:p>
        </w:tc>
        <w:tc>
          <w:tcPr>
            <w:tcW w:type="dxa" w:w="850"/>
          </w:tcPr>
          <w:p>
            <w:pPr>
              <w:jc w:val="center"/>
            </w:pPr>
            <w:r/>
            <w:r>
              <w:rPr>
                <w:rFonts w:ascii="Times New Roman" w:hAnsi="Times New Roman"/>
                <w:sz w:val="17"/>
              </w:rPr>
              <w:t>93.0</w:t>
            </w:r>
          </w:p>
        </w:tc>
        <w:tc>
          <w:tcPr>
            <w:tcW w:type="dxa" w:w="1134"/>
          </w:tcPr>
          <w:p>
            <w:pPr>
              <w:jc w:val="center"/>
            </w:pPr>
            <w:r/>
            <w:r>
              <w:rPr>
                <w:rFonts w:ascii="Times New Roman" w:hAnsi="Times New Roman"/>
                <w:sz w:val="17"/>
              </w:rPr>
              <w:t>0.898</w:t>
            </w:r>
          </w:p>
        </w:tc>
        <w:tc>
          <w:tcPr>
            <w:tcW w:type="dxa" w:w="850"/>
          </w:tcPr>
          <w:p>
            <w:pPr>
              <w:jc w:val="center"/>
            </w:pPr>
            <w:r/>
            <w:r>
              <w:rPr>
                <w:rFonts w:ascii="Times New Roman" w:hAnsi="Times New Roman"/>
                <w:sz w:val="17"/>
              </w:rPr>
              <w:t>0.0839</w:t>
            </w:r>
          </w:p>
        </w:tc>
        <w:tc>
          <w:tcPr>
            <w:tcW w:type="dxa" w:w="1134"/>
          </w:tcPr>
          <w:p>
            <w:pPr>
              <w:jc w:val="center"/>
            </w:pPr>
            <w:r/>
            <w:r>
              <w:rPr>
                <w:rFonts w:ascii="Times New Roman" w:hAnsi="Times New Roman"/>
                <w:sz w:val="17"/>
              </w:rPr>
              <w:t>6.92</w:t>
            </w:r>
          </w:p>
        </w:tc>
        <w:tc>
          <w:tcPr>
            <w:tcW w:type="dxa" w:w="1134"/>
          </w:tcPr>
          <w:p>
            <w:pPr>
              <w:jc w:val="center"/>
            </w:pPr>
            <w:r/>
            <w:r>
              <w:rPr>
                <w:rFonts w:ascii="Times New Roman" w:hAnsi="Times New Roman"/>
                <w:sz w:val="17"/>
              </w:rPr>
              <w:t>6.23</w:t>
            </w:r>
          </w:p>
        </w:tc>
        <w:tc>
          <w:tcPr>
            <w:tcW w:type="dxa" w:w="1417"/>
          </w:tcPr>
          <w:p>
            <w:pPr>
              <w:jc w:val="left"/>
            </w:pPr>
            <w:r/>
            <w:r>
              <w:rPr>
                <w:rFonts w:ascii="Times New Roman" w:hAnsi="Times New Roman"/>
                <w:sz w:val="17"/>
              </w:rPr>
              <w:t>Overturned</w:t>
            </w:r>
          </w:p>
        </w:tc>
      </w:tr>
      <w:tr>
        <w:tc>
          <w:tcPr>
            <w:tcW w:type="dxa" w:w="850"/>
          </w:tcPr>
          <w:p>
            <w:pPr>
              <w:jc w:val="center"/>
            </w:pPr>
            <w:r/>
            <w:r>
              <w:rPr>
                <w:rFonts w:ascii="Times New Roman" w:hAnsi="Times New Roman"/>
                <w:sz w:val="17"/>
              </w:rPr>
              <w:t>4.5</w:t>
            </w:r>
          </w:p>
        </w:tc>
        <w:tc>
          <w:tcPr>
            <w:tcW w:type="dxa" w:w="850"/>
          </w:tcPr>
          <w:p>
            <w:pPr>
              <w:jc w:val="center"/>
            </w:pPr>
            <w:r/>
            <w:r>
              <w:rPr>
                <w:rFonts w:ascii="Times New Roman" w:hAnsi="Times New Roman"/>
                <w:sz w:val="17"/>
              </w:rPr>
              <w:t>92.5</w:t>
            </w:r>
          </w:p>
        </w:tc>
        <w:tc>
          <w:tcPr>
            <w:tcW w:type="dxa" w:w="1134"/>
          </w:tcPr>
          <w:p>
            <w:pPr>
              <w:jc w:val="center"/>
            </w:pPr>
            <w:r/>
            <w:r>
              <w:rPr>
                <w:rFonts w:ascii="Times New Roman" w:hAnsi="Times New Roman"/>
                <w:sz w:val="17"/>
              </w:rPr>
              <w:t>0.871</w:t>
            </w:r>
          </w:p>
        </w:tc>
        <w:tc>
          <w:tcPr>
            <w:tcW w:type="dxa" w:w="850"/>
          </w:tcPr>
          <w:p>
            <w:pPr>
              <w:jc w:val="center"/>
            </w:pPr>
            <w:r/>
            <w:r>
              <w:rPr>
                <w:rFonts w:ascii="Times New Roman" w:hAnsi="Times New Roman"/>
                <w:sz w:val="17"/>
              </w:rPr>
              <w:t>0.0832</w:t>
            </w:r>
          </w:p>
        </w:tc>
        <w:tc>
          <w:tcPr>
            <w:tcW w:type="dxa" w:w="1134"/>
          </w:tcPr>
          <w:p>
            <w:pPr>
              <w:jc w:val="center"/>
            </w:pPr>
            <w:r/>
            <w:r>
              <w:rPr>
                <w:rFonts w:ascii="Times New Roman" w:hAnsi="Times New Roman"/>
                <w:sz w:val="17"/>
              </w:rPr>
              <w:t>7.50</w:t>
            </w:r>
          </w:p>
        </w:tc>
        <w:tc>
          <w:tcPr>
            <w:tcW w:type="dxa" w:w="1134"/>
          </w:tcPr>
          <w:p>
            <w:pPr>
              <w:jc w:val="center"/>
            </w:pPr>
            <w:r/>
            <w:r>
              <w:rPr>
                <w:rFonts w:ascii="Times New Roman" w:hAnsi="Times New Roman"/>
                <w:sz w:val="17"/>
              </w:rPr>
              <w:t>6.49</w:t>
            </w:r>
          </w:p>
        </w:tc>
        <w:tc>
          <w:tcPr>
            <w:tcW w:type="dxa" w:w="1417"/>
          </w:tcPr>
          <w:p>
            <w:pPr>
              <w:jc w:val="left"/>
            </w:pPr>
            <w:r/>
            <w:r>
              <w:rPr>
                <w:rFonts w:ascii="Times New Roman" w:hAnsi="Times New Roman"/>
                <w:sz w:val="17"/>
              </w:rPr>
              <w:t>Overturned</w:t>
            </w:r>
          </w:p>
        </w:tc>
      </w:tr>
      <w:tr>
        <w:tc>
          <w:tcPr>
            <w:tcW w:type="dxa" w:w="850"/>
          </w:tcPr>
          <w:p>
            <w:pPr>
              <w:jc w:val="center"/>
            </w:pPr>
            <w:r/>
            <w:r>
              <w:rPr>
                <w:rFonts w:ascii="Times New Roman" w:hAnsi="Times New Roman"/>
                <w:sz w:val="17"/>
              </w:rPr>
              <w:t>5.0</w:t>
            </w:r>
          </w:p>
        </w:tc>
        <w:tc>
          <w:tcPr>
            <w:tcW w:type="dxa" w:w="850"/>
          </w:tcPr>
          <w:p>
            <w:pPr>
              <w:jc w:val="center"/>
            </w:pPr>
            <w:r/>
            <w:r>
              <w:rPr>
                <w:rFonts w:ascii="Times New Roman" w:hAnsi="Times New Roman"/>
                <w:sz w:val="17"/>
              </w:rPr>
              <w:t>92.0</w:t>
            </w:r>
          </w:p>
        </w:tc>
        <w:tc>
          <w:tcPr>
            <w:tcW w:type="dxa" w:w="1134"/>
          </w:tcPr>
          <w:p>
            <w:pPr>
              <w:jc w:val="center"/>
            </w:pPr>
            <w:r/>
            <w:r>
              <w:rPr>
                <w:rFonts w:ascii="Times New Roman" w:hAnsi="Times New Roman"/>
                <w:sz w:val="17"/>
              </w:rPr>
              <w:t>0.852</w:t>
            </w:r>
          </w:p>
        </w:tc>
        <w:tc>
          <w:tcPr>
            <w:tcW w:type="dxa" w:w="850"/>
          </w:tcPr>
          <w:p>
            <w:pPr>
              <w:jc w:val="center"/>
            </w:pPr>
            <w:r/>
            <w:r>
              <w:rPr>
                <w:rFonts w:ascii="Times New Roman" w:hAnsi="Times New Roman"/>
                <w:sz w:val="17"/>
              </w:rPr>
              <w:t>0.0829</w:t>
            </w:r>
          </w:p>
        </w:tc>
        <w:tc>
          <w:tcPr>
            <w:tcW w:type="dxa" w:w="1134"/>
          </w:tcPr>
          <w:p>
            <w:pPr>
              <w:jc w:val="center"/>
            </w:pPr>
            <w:r/>
            <w:r>
              <w:rPr>
                <w:rFonts w:ascii="Times New Roman" w:hAnsi="Times New Roman"/>
                <w:sz w:val="17"/>
              </w:rPr>
              <w:t>8.09</w:t>
            </w:r>
          </w:p>
        </w:tc>
        <w:tc>
          <w:tcPr>
            <w:tcW w:type="dxa" w:w="1134"/>
          </w:tcPr>
          <w:p>
            <w:pPr>
              <w:jc w:val="center"/>
            </w:pPr>
            <w:r/>
            <w:r>
              <w:rPr>
                <w:rFonts w:ascii="Times New Roman" w:hAnsi="Times New Roman"/>
                <w:sz w:val="17"/>
              </w:rPr>
              <w:t>6.75</w:t>
            </w:r>
          </w:p>
        </w:tc>
        <w:tc>
          <w:tcPr>
            <w:tcW w:type="dxa" w:w="1417"/>
          </w:tcPr>
          <w:p>
            <w:pPr>
              <w:jc w:val="left"/>
            </w:pPr>
            <w:r/>
            <w:r>
              <w:rPr>
                <w:rFonts w:ascii="Times New Roman" w:hAnsi="Times New Roman"/>
                <w:sz w:val="17"/>
              </w:rPr>
              <w:t>Overturned</w:t>
            </w:r>
          </w:p>
        </w:tc>
      </w:tr>
      <w:tr>
        <w:tc>
          <w:tcPr>
            <w:tcW w:type="dxa" w:w="850"/>
          </w:tcPr>
          <w:p>
            <w:pPr>
              <w:jc w:val="center"/>
            </w:pPr>
            <w:r/>
            <w:r>
              <w:rPr>
                <w:rFonts w:ascii="Times New Roman" w:hAnsi="Times New Roman"/>
                <w:sz w:val="17"/>
              </w:rPr>
              <w:t>6.0</w:t>
            </w:r>
          </w:p>
        </w:tc>
        <w:tc>
          <w:tcPr>
            <w:tcW w:type="dxa" w:w="850"/>
          </w:tcPr>
          <w:p>
            <w:pPr>
              <w:jc w:val="center"/>
            </w:pPr>
            <w:r/>
            <w:r>
              <w:rPr>
                <w:rFonts w:ascii="Times New Roman" w:hAnsi="Times New Roman"/>
                <w:sz w:val="17"/>
              </w:rPr>
              <w:t>91.0</w:t>
            </w:r>
          </w:p>
        </w:tc>
        <w:tc>
          <w:tcPr>
            <w:tcW w:type="dxa" w:w="1134"/>
          </w:tcPr>
          <w:p>
            <w:pPr>
              <w:jc w:val="center"/>
            </w:pPr>
            <w:r/>
            <w:r>
              <w:rPr>
                <w:rFonts w:ascii="Times New Roman" w:hAnsi="Times New Roman"/>
                <w:sz w:val="17"/>
              </w:rPr>
              <w:t>0.808</w:t>
            </w:r>
          </w:p>
        </w:tc>
        <w:tc>
          <w:tcPr>
            <w:tcW w:type="dxa" w:w="850"/>
          </w:tcPr>
          <w:p>
            <w:pPr>
              <w:jc w:val="center"/>
            </w:pPr>
            <w:r/>
            <w:r>
              <w:rPr>
                <w:rFonts w:ascii="Times New Roman" w:hAnsi="Times New Roman"/>
                <w:sz w:val="17"/>
              </w:rPr>
              <w:t>0.0832</w:t>
            </w:r>
          </w:p>
        </w:tc>
        <w:tc>
          <w:tcPr>
            <w:tcW w:type="dxa" w:w="1134"/>
          </w:tcPr>
          <w:p>
            <w:pPr>
              <w:jc w:val="center"/>
            </w:pPr>
            <w:r/>
            <w:r>
              <w:rPr>
                <w:rFonts w:ascii="Times New Roman" w:hAnsi="Times New Roman"/>
                <w:sz w:val="17"/>
              </w:rPr>
              <w:t>9.27</w:t>
            </w:r>
          </w:p>
        </w:tc>
        <w:tc>
          <w:tcPr>
            <w:tcW w:type="dxa" w:w="1134"/>
          </w:tcPr>
          <w:p>
            <w:pPr>
              <w:jc w:val="center"/>
            </w:pPr>
            <w:r/>
            <w:r>
              <w:rPr>
                <w:rFonts w:ascii="Times New Roman" w:hAnsi="Times New Roman"/>
                <w:sz w:val="17"/>
              </w:rPr>
              <w:t>7.27</w:t>
            </w:r>
          </w:p>
        </w:tc>
        <w:tc>
          <w:tcPr>
            <w:tcW w:type="dxa" w:w="1417"/>
          </w:tcPr>
          <w:p>
            <w:pPr>
              <w:jc w:val="left"/>
            </w:pPr>
            <w:r/>
            <w:r>
              <w:rPr>
                <w:rFonts w:ascii="Times New Roman" w:hAnsi="Times New Roman"/>
                <w:sz w:val="17"/>
              </w:rPr>
              <w:t>Overturned</w:t>
            </w:r>
          </w:p>
        </w:tc>
      </w:tr>
      <w:tr>
        <w:tc>
          <w:tcPr>
            <w:tcW w:type="dxa" w:w="850"/>
          </w:tcPr>
          <w:p>
            <w:pPr>
              <w:jc w:val="center"/>
            </w:pPr>
            <w:r/>
            <w:r>
              <w:rPr>
                <w:rFonts w:ascii="Times New Roman" w:hAnsi="Times New Roman"/>
                <w:sz w:val="17"/>
              </w:rPr>
              <w:t>7.0</w:t>
            </w:r>
          </w:p>
        </w:tc>
        <w:tc>
          <w:tcPr>
            <w:tcW w:type="dxa" w:w="850"/>
          </w:tcPr>
          <w:p>
            <w:pPr>
              <w:jc w:val="center"/>
            </w:pPr>
            <w:r/>
            <w:r>
              <w:rPr>
                <w:rFonts w:ascii="Times New Roman" w:hAnsi="Times New Roman"/>
                <w:sz w:val="17"/>
              </w:rPr>
              <w:t>90.0</w:t>
            </w:r>
          </w:p>
        </w:tc>
        <w:tc>
          <w:tcPr>
            <w:tcW w:type="dxa" w:w="1134"/>
          </w:tcPr>
          <w:p>
            <w:pPr>
              <w:jc w:val="center"/>
            </w:pPr>
            <w:r/>
            <w:r>
              <w:rPr>
                <w:rFonts w:ascii="Times New Roman" w:hAnsi="Times New Roman"/>
                <w:sz w:val="17"/>
              </w:rPr>
              <w:t>0.786</w:t>
            </w:r>
          </w:p>
        </w:tc>
        <w:tc>
          <w:tcPr>
            <w:tcW w:type="dxa" w:w="850"/>
          </w:tcPr>
          <w:p>
            <w:pPr>
              <w:jc w:val="center"/>
            </w:pPr>
            <w:r/>
            <w:r>
              <w:rPr>
                <w:rFonts w:ascii="Times New Roman" w:hAnsi="Times New Roman"/>
                <w:sz w:val="17"/>
              </w:rPr>
              <w:t>0.0841</w:t>
            </w:r>
          </w:p>
        </w:tc>
        <w:tc>
          <w:tcPr>
            <w:tcW w:type="dxa" w:w="1134"/>
          </w:tcPr>
          <w:p>
            <w:pPr>
              <w:jc w:val="center"/>
            </w:pPr>
            <w:r/>
            <w:r>
              <w:rPr>
                <w:rFonts w:ascii="Times New Roman" w:hAnsi="Times New Roman"/>
                <w:sz w:val="17"/>
              </w:rPr>
              <w:t>10.45</w:t>
            </w:r>
          </w:p>
        </w:tc>
        <w:tc>
          <w:tcPr>
            <w:tcW w:type="dxa" w:w="1134"/>
          </w:tcPr>
          <w:p>
            <w:pPr>
              <w:jc w:val="center"/>
            </w:pPr>
            <w:r/>
            <w:r>
              <w:rPr>
                <w:rFonts w:ascii="Times New Roman" w:hAnsi="Times New Roman"/>
                <w:sz w:val="17"/>
              </w:rPr>
              <w:t>7.80</w:t>
            </w:r>
          </w:p>
        </w:tc>
        <w:tc>
          <w:tcPr>
            <w:tcW w:type="dxa" w:w="1417"/>
          </w:tcPr>
          <w:p>
            <w:pPr>
              <w:jc w:val="left"/>
            </w:pPr>
            <w:r/>
            <w:r>
              <w:rPr>
                <w:rFonts w:ascii="Times New Roman" w:hAnsi="Times New Roman"/>
                <w:sz w:val="17"/>
              </w:rPr>
              <w:t>Overturned</w:t>
            </w:r>
          </w:p>
        </w:tc>
      </w:tr>
      <w:tr>
        <w:tc>
          <w:tcPr>
            <w:tcW w:type="dxa" w:w="850"/>
          </w:tcPr>
          <w:p>
            <w:pPr>
              <w:jc w:val="center"/>
            </w:pPr>
            <w:r/>
            <w:r>
              <w:rPr>
                <w:rFonts w:ascii="Times New Roman" w:hAnsi="Times New Roman"/>
                <w:sz w:val="17"/>
              </w:rPr>
              <w:t>8.0</w:t>
            </w:r>
          </w:p>
        </w:tc>
        <w:tc>
          <w:tcPr>
            <w:tcW w:type="dxa" w:w="850"/>
          </w:tcPr>
          <w:p>
            <w:pPr>
              <w:jc w:val="center"/>
            </w:pPr>
            <w:r/>
            <w:r>
              <w:rPr>
                <w:rFonts w:ascii="Times New Roman" w:hAnsi="Times New Roman"/>
                <w:sz w:val="17"/>
              </w:rPr>
              <w:t>89.0</w:t>
            </w:r>
          </w:p>
        </w:tc>
        <w:tc>
          <w:tcPr>
            <w:tcW w:type="dxa" w:w="1134"/>
          </w:tcPr>
          <w:p>
            <w:pPr>
              <w:jc w:val="center"/>
            </w:pPr>
            <w:r/>
            <w:r>
              <w:rPr>
                <w:rFonts w:ascii="Times New Roman" w:hAnsi="Times New Roman"/>
                <w:sz w:val="17"/>
              </w:rPr>
              <w:t>0.743</w:t>
            </w:r>
          </w:p>
        </w:tc>
        <w:tc>
          <w:tcPr>
            <w:tcW w:type="dxa" w:w="850"/>
          </w:tcPr>
          <w:p>
            <w:pPr>
              <w:jc w:val="center"/>
            </w:pPr>
            <w:r/>
            <w:r>
              <w:rPr>
                <w:rFonts w:ascii="Times New Roman" w:hAnsi="Times New Roman"/>
                <w:sz w:val="17"/>
              </w:rPr>
              <w:t>0.0856</w:t>
            </w:r>
          </w:p>
        </w:tc>
        <w:tc>
          <w:tcPr>
            <w:tcW w:type="dxa" w:w="1134"/>
          </w:tcPr>
          <w:p>
            <w:pPr>
              <w:jc w:val="center"/>
            </w:pPr>
            <w:r/>
            <w:r>
              <w:rPr>
                <w:rFonts w:ascii="Times New Roman" w:hAnsi="Times New Roman"/>
                <w:sz w:val="17"/>
              </w:rPr>
              <w:t>11.63</w:t>
            </w:r>
          </w:p>
        </w:tc>
        <w:tc>
          <w:tcPr>
            <w:tcW w:type="dxa" w:w="1134"/>
          </w:tcPr>
          <w:p>
            <w:pPr>
              <w:jc w:val="center"/>
            </w:pPr>
            <w:r/>
            <w:r>
              <w:rPr>
                <w:rFonts w:ascii="Times New Roman" w:hAnsi="Times New Roman"/>
                <w:sz w:val="17"/>
              </w:rPr>
              <w:t>8.32</w:t>
            </w:r>
          </w:p>
        </w:tc>
        <w:tc>
          <w:tcPr>
            <w:tcW w:type="dxa" w:w="1417"/>
          </w:tcPr>
          <w:p>
            <w:pPr>
              <w:jc w:val="left"/>
            </w:pPr>
            <w:r/>
            <w:r>
              <w:rPr>
                <w:rFonts w:ascii="Times New Roman" w:hAnsi="Times New Roman"/>
                <w:sz w:val="17"/>
              </w:rPr>
              <w:t>Overturned</w:t>
            </w:r>
          </w:p>
        </w:tc>
      </w:tr>
      <w:tr>
        <w:tc>
          <w:tcPr>
            <w:tcW w:type="dxa" w:w="850"/>
          </w:tcPr>
          <w:p>
            <w:pPr>
              <w:jc w:val="center"/>
            </w:pPr>
            <w:r/>
            <w:r>
              <w:rPr>
                <w:rFonts w:ascii="Times New Roman" w:hAnsi="Times New Roman"/>
                <w:sz w:val="17"/>
              </w:rPr>
              <w:t>9.0</w:t>
            </w:r>
          </w:p>
        </w:tc>
        <w:tc>
          <w:tcPr>
            <w:tcW w:type="dxa" w:w="850"/>
          </w:tcPr>
          <w:p>
            <w:pPr>
              <w:jc w:val="center"/>
            </w:pPr>
            <w:r/>
            <w:r>
              <w:rPr>
                <w:rFonts w:ascii="Times New Roman" w:hAnsi="Times New Roman"/>
                <w:sz w:val="17"/>
              </w:rPr>
              <w:t>88.0</w:t>
            </w:r>
          </w:p>
        </w:tc>
        <w:tc>
          <w:tcPr>
            <w:tcW w:type="dxa" w:w="1134"/>
          </w:tcPr>
          <w:p>
            <w:pPr>
              <w:jc w:val="center"/>
            </w:pPr>
            <w:r/>
            <w:r>
              <w:rPr>
                <w:rFonts w:ascii="Times New Roman" w:hAnsi="Times New Roman"/>
                <w:sz w:val="17"/>
              </w:rPr>
              <w:t>0.713</w:t>
            </w:r>
          </w:p>
        </w:tc>
        <w:tc>
          <w:tcPr>
            <w:tcW w:type="dxa" w:w="850"/>
          </w:tcPr>
          <w:p>
            <w:pPr>
              <w:jc w:val="center"/>
            </w:pPr>
            <w:r/>
            <w:r>
              <w:rPr>
                <w:rFonts w:ascii="Times New Roman" w:hAnsi="Times New Roman"/>
                <w:sz w:val="17"/>
              </w:rPr>
              <w:t>0.0877</w:t>
            </w:r>
          </w:p>
        </w:tc>
        <w:tc>
          <w:tcPr>
            <w:tcW w:type="dxa" w:w="1134"/>
          </w:tcPr>
          <w:p>
            <w:pPr>
              <w:jc w:val="center"/>
            </w:pPr>
            <w:r/>
            <w:r>
              <w:rPr>
                <w:rFonts w:ascii="Times New Roman" w:hAnsi="Times New Roman"/>
                <w:sz w:val="17"/>
              </w:rPr>
              <w:t>12.80</w:t>
            </w:r>
          </w:p>
        </w:tc>
        <w:tc>
          <w:tcPr>
            <w:tcW w:type="dxa" w:w="1134"/>
          </w:tcPr>
          <w:p>
            <w:pPr>
              <w:jc w:val="center"/>
            </w:pPr>
            <w:r/>
            <w:r>
              <w:rPr>
                <w:rFonts w:ascii="Times New Roman" w:hAnsi="Times New Roman"/>
                <w:sz w:val="17"/>
              </w:rPr>
              <w:t>8.84</w:t>
            </w:r>
          </w:p>
        </w:tc>
        <w:tc>
          <w:tcPr>
            <w:tcW w:type="dxa" w:w="1417"/>
          </w:tcPr>
          <w:p>
            <w:pPr>
              <w:jc w:val="left"/>
            </w:pPr>
            <w:r/>
            <w:r>
              <w:rPr>
                <w:rFonts w:ascii="Times New Roman" w:hAnsi="Times New Roman"/>
                <w:sz w:val="17"/>
              </w:rPr>
              <w:t>Overturned</w:t>
            </w:r>
          </w:p>
        </w:tc>
      </w:tr>
      <w:tr>
        <w:tc>
          <w:tcPr>
            <w:tcW w:type="dxa" w:w="850"/>
          </w:tcPr>
          <w:p>
            <w:pPr>
              <w:jc w:val="center"/>
            </w:pPr>
            <w:r/>
            <w:r>
              <w:rPr>
                <w:rFonts w:ascii="Times New Roman" w:hAnsi="Times New Roman"/>
                <w:sz w:val="17"/>
              </w:rPr>
              <w:t>9.2</w:t>
            </w:r>
          </w:p>
        </w:tc>
        <w:tc>
          <w:tcPr>
            <w:tcW w:type="dxa" w:w="850"/>
          </w:tcPr>
          <w:p>
            <w:pPr>
              <w:jc w:val="center"/>
            </w:pPr>
            <w:r/>
            <w:r>
              <w:rPr>
                <w:rFonts w:ascii="Times New Roman" w:hAnsi="Times New Roman"/>
                <w:sz w:val="17"/>
              </w:rPr>
              <w:t>87.8</w:t>
            </w:r>
          </w:p>
        </w:tc>
        <w:tc>
          <w:tcPr>
            <w:tcW w:type="dxa" w:w="1134"/>
          </w:tcPr>
          <w:p>
            <w:pPr>
              <w:jc w:val="center"/>
            </w:pPr>
            <w:r/>
            <w:r>
              <w:rPr>
                <w:rFonts w:ascii="Times New Roman" w:hAnsi="Times New Roman"/>
                <w:sz w:val="17"/>
              </w:rPr>
              <w:t>0.696</w:t>
            </w:r>
          </w:p>
        </w:tc>
        <w:tc>
          <w:tcPr>
            <w:tcW w:type="dxa" w:w="850"/>
          </w:tcPr>
          <w:p>
            <w:pPr>
              <w:jc w:val="center"/>
            </w:pPr>
            <w:r/>
            <w:r>
              <w:rPr>
                <w:rFonts w:ascii="Times New Roman" w:hAnsi="Times New Roman"/>
                <w:sz w:val="17"/>
              </w:rPr>
              <w:t>0.0881</w:t>
            </w:r>
          </w:p>
        </w:tc>
        <w:tc>
          <w:tcPr>
            <w:tcW w:type="dxa" w:w="1134"/>
          </w:tcPr>
          <w:p>
            <w:pPr>
              <w:jc w:val="center"/>
            </w:pPr>
            <w:r/>
            <w:r>
              <w:rPr>
                <w:rFonts w:ascii="Times New Roman" w:hAnsi="Times New Roman"/>
                <w:sz w:val="17"/>
              </w:rPr>
              <w:t>13.04</w:t>
            </w:r>
          </w:p>
        </w:tc>
        <w:tc>
          <w:tcPr>
            <w:tcW w:type="dxa" w:w="1134"/>
          </w:tcPr>
          <w:p>
            <w:pPr>
              <w:jc w:val="center"/>
            </w:pPr>
            <w:r/>
            <w:r>
              <w:rPr>
                <w:rFonts w:ascii="Times New Roman" w:hAnsi="Times New Roman"/>
                <w:sz w:val="17"/>
              </w:rPr>
              <w:t>8.95</w:t>
            </w:r>
          </w:p>
        </w:tc>
        <w:tc>
          <w:tcPr>
            <w:tcW w:type="dxa" w:w="1417"/>
          </w:tcPr>
          <w:p>
            <w:pPr>
              <w:jc w:val="left"/>
            </w:pPr>
            <w:r/>
            <w:r>
              <w:rPr>
                <w:rFonts w:ascii="Times New Roman" w:hAnsi="Times New Roman"/>
                <w:sz w:val="17"/>
              </w:rPr>
              <w:t>Overturned</w:t>
            </w:r>
          </w:p>
        </w:tc>
      </w:tr>
      <w:tr>
        <w:tc>
          <w:tcPr>
            <w:tcW w:type="dxa" w:w="850"/>
          </w:tcPr>
          <w:p>
            <w:pPr>
              <w:jc w:val="center"/>
            </w:pPr>
            <w:r/>
            <w:r>
              <w:rPr>
                <w:rFonts w:ascii="Times New Roman" w:hAnsi="Times New Roman"/>
                <w:sz w:val="17"/>
              </w:rPr>
              <w:t>10.0</w:t>
            </w:r>
          </w:p>
        </w:tc>
        <w:tc>
          <w:tcPr>
            <w:tcW w:type="dxa" w:w="850"/>
          </w:tcPr>
          <w:p>
            <w:pPr>
              <w:jc w:val="center"/>
            </w:pPr>
            <w:r/>
            <w:r>
              <w:rPr>
                <w:rFonts w:ascii="Times New Roman" w:hAnsi="Times New Roman"/>
                <w:sz w:val="17"/>
              </w:rPr>
              <w:t>87.0</w:t>
            </w:r>
          </w:p>
        </w:tc>
        <w:tc>
          <w:tcPr>
            <w:tcW w:type="dxa" w:w="1134"/>
          </w:tcPr>
          <w:p>
            <w:pPr>
              <w:jc w:val="center"/>
            </w:pPr>
            <w:r/>
            <w:r>
              <w:rPr>
                <w:rFonts w:ascii="Times New Roman" w:hAnsi="Times New Roman"/>
                <w:sz w:val="17"/>
              </w:rPr>
              <w:t>0.666</w:t>
            </w:r>
          </w:p>
        </w:tc>
        <w:tc>
          <w:tcPr>
            <w:tcW w:type="dxa" w:w="850"/>
          </w:tcPr>
          <w:p>
            <w:pPr>
              <w:jc w:val="center"/>
            </w:pPr>
            <w:r/>
            <w:r>
              <w:rPr>
                <w:rFonts w:ascii="Times New Roman" w:hAnsi="Times New Roman"/>
                <w:sz w:val="17"/>
              </w:rPr>
              <w:t>0.0902</w:t>
            </w:r>
          </w:p>
        </w:tc>
        <w:tc>
          <w:tcPr>
            <w:tcW w:type="dxa" w:w="1134"/>
          </w:tcPr>
          <w:p>
            <w:pPr>
              <w:jc w:val="center"/>
            </w:pPr>
            <w:r/>
            <w:r>
              <w:rPr>
                <w:rFonts w:ascii="Times New Roman" w:hAnsi="Times New Roman"/>
                <w:sz w:val="17"/>
              </w:rPr>
              <w:t>13.98</w:t>
            </w:r>
          </w:p>
        </w:tc>
        <w:tc>
          <w:tcPr>
            <w:tcW w:type="dxa" w:w="1134"/>
          </w:tcPr>
          <w:p>
            <w:pPr>
              <w:jc w:val="center"/>
            </w:pPr>
            <w:r/>
            <w:r>
              <w:rPr>
                <w:rFonts w:ascii="Times New Roman" w:hAnsi="Times New Roman"/>
                <w:sz w:val="17"/>
              </w:rPr>
              <w:t>9.37</w:t>
            </w:r>
          </w:p>
        </w:tc>
        <w:tc>
          <w:tcPr>
            <w:tcW w:type="dxa" w:w="1417"/>
          </w:tcPr>
          <w:p>
            <w:pPr>
              <w:jc w:val="left"/>
            </w:pPr>
            <w:r/>
            <w:r>
              <w:rPr>
                <w:rFonts w:ascii="Times New Roman" w:hAnsi="Times New Roman"/>
                <w:sz w:val="17"/>
              </w:rPr>
              <w:t>Overturned</w:t>
            </w:r>
          </w:p>
        </w:tc>
      </w:tr>
    </w:tbl>
    <w:p>
      <w:pPr>
        <w:jc w:val="center"/>
      </w:pPr>
      <w:r>
        <w:rPr>
          <w:rFonts w:ascii="Times New Roman" w:hAnsi="Times New Roman"/>
          <w:i/>
          <w:sz w:val="17"/>
        </w:rPr>
        <w:t>Table C. Full TSAC ranking trajectory (SOSAC = 3%)</w:t>
      </w:r>
    </w:p>
    <w:p>
      <w:pPr>
        <w:spacing w:after="240"/>
      </w:pPr>
      <w:r>
        <w:t>The ranking trajectory shows that the Gini coefficient reaches its minimum at TSAC = 2.5% (Gini = 0.0886) while band order is still preserved. Beyond the band-order overturn at TSAC = 3.0%, the Gini continues to decline briefly before rising again as TSAC dominates. The policy-relevant range lies between the strict point (TSAC = 1.5%) and the Gini-minimum (TSAC = 2.5%), with the band-order boundary at TSAC = 3.0% as the structural ceiling.</w:t>
      </w:r>
    </w:p>
    <w:p>
      <w:pPr>
        <w:pStyle w:val="Heading2"/>
      </w:pPr>
      <w:r>
        <w:rPr>
          <w:rFonts w:ascii="Times New Roman" w:hAnsi="Times New Roman"/>
        </w:rPr>
        <w:t>Band Transfer Analysis: Who Gains and Who Loses</w:t>
      </w:r>
    </w:p>
    <w:p>
      <w:pPr>
        <w:spacing w:after="120"/>
      </w:pPr>
      <w:r>
        <w:t>A critical consideration for Parties is how TSAC reallocates funds between bands. Table D shows the composition of each IUSAF band under the pure IUSAF baseline. Band 2 is the largest group with 59 eligible Parties, including 31 LDCs and 11 SIDS. Band 6 contains a single upper-middle-income Party (China).</w:t>
      </w:r>
    </w:p>
    <w:tbl>
      <w:tblPr>
        <w:tblStyle w:val="TableGrid"/>
        <w:tblW w:type="auto" w:w="0"/>
        <w:jc w:val="center"/>
        <w:tblLook w:firstColumn="1" w:firstRow="1" w:lastColumn="0" w:lastRow="0" w:noHBand="0" w:noVBand="1" w:val="04A0"/>
      </w:tblPr>
      <w:tblGrid>
        <w:gridCol w:w="1344"/>
        <w:gridCol w:w="1344"/>
        <w:gridCol w:w="1344"/>
        <w:gridCol w:w="1344"/>
        <w:gridCol w:w="1344"/>
        <w:gridCol w:w="1344"/>
        <w:gridCol w:w="1344"/>
      </w:tblGrid>
      <w:tr>
        <w:tc>
          <w:tcPr>
            <w:tcW w:type="dxa" w:w="1701"/>
            <w:shd w:fill="D9D9D9"/>
          </w:tcPr>
          <w:p>
            <w:pPr>
              <w:jc w:val="center"/>
            </w:pPr>
            <w:r/>
            <w:r>
              <w:rPr>
                <w:rFonts w:ascii="Times New Roman" w:hAnsi="Times New Roman"/>
                <w:b/>
                <w:sz w:val="17"/>
              </w:rPr>
              <w:t>IUSAF Band</w:t>
            </w:r>
          </w:p>
        </w:tc>
        <w:tc>
          <w:tcPr>
            <w:tcW w:type="dxa" w:w="850"/>
            <w:shd w:fill="D9D9D9"/>
          </w:tcPr>
          <w:p>
            <w:pPr>
              <w:jc w:val="center"/>
            </w:pPr>
            <w:r/>
            <w:r>
              <w:rPr>
                <w:rFonts w:ascii="Times New Roman" w:hAnsi="Times New Roman"/>
                <w:b/>
                <w:sz w:val="17"/>
              </w:rPr>
              <w:t>Parties</w:t>
            </w:r>
          </w:p>
        </w:tc>
        <w:tc>
          <w:tcPr>
            <w:tcW w:type="dxa" w:w="567"/>
            <w:shd w:fill="D9D9D9"/>
          </w:tcPr>
          <w:p>
            <w:pPr>
              <w:jc w:val="center"/>
            </w:pPr>
            <w:r/>
            <w:r>
              <w:rPr>
                <w:rFonts w:ascii="Times New Roman" w:hAnsi="Times New Roman"/>
                <w:b/>
                <w:sz w:val="17"/>
              </w:rPr>
              <w:t>LDCs</w:t>
            </w:r>
          </w:p>
        </w:tc>
        <w:tc>
          <w:tcPr>
            <w:tcW w:type="dxa" w:w="567"/>
            <w:shd w:fill="D9D9D9"/>
          </w:tcPr>
          <w:p>
            <w:pPr>
              <w:jc w:val="center"/>
            </w:pPr>
            <w:r/>
            <w:r>
              <w:rPr>
                <w:rFonts w:ascii="Times New Roman" w:hAnsi="Times New Roman"/>
                <w:b/>
                <w:sz w:val="17"/>
              </w:rPr>
              <w:t>SIDS</w:t>
            </w:r>
          </w:p>
        </w:tc>
        <w:tc>
          <w:tcPr>
            <w:tcW w:type="dxa" w:w="2835"/>
            <w:shd w:fill="D9D9D9"/>
          </w:tcPr>
          <w:p>
            <w:pPr>
              <w:jc w:val="center"/>
            </w:pPr>
            <w:r/>
            <w:r>
              <w:rPr>
                <w:rFonts w:ascii="Times New Roman" w:hAnsi="Times New Roman"/>
                <w:b/>
                <w:sz w:val="17"/>
              </w:rPr>
              <w:t>Income distribution</w:t>
            </w:r>
          </w:p>
        </w:tc>
        <w:tc>
          <w:tcPr>
            <w:tcW w:type="dxa" w:w="1134"/>
            <w:shd w:fill="D9D9D9"/>
          </w:tcPr>
          <w:p>
            <w:pPr>
              <w:jc w:val="center"/>
            </w:pPr>
            <w:r/>
            <w:r>
              <w:rPr>
                <w:rFonts w:ascii="Times New Roman" w:hAnsi="Times New Roman"/>
                <w:b/>
                <w:sz w:val="17"/>
              </w:rPr>
              <w:t>IUSAF total</w:t>
            </w:r>
            <w:r>
              <w:br/>
            </w:r>
            <w:r>
              <w:rPr>
                <w:rFonts w:ascii="Times New Roman" w:hAnsi="Times New Roman"/>
                <w:b/>
                <w:sz w:val="17"/>
              </w:rPr>
              <w:t>(USD M)</w:t>
            </w:r>
          </w:p>
        </w:tc>
        <w:tc>
          <w:tcPr>
            <w:tcW w:type="dxa" w:w="1134"/>
            <w:shd w:fill="D9D9D9"/>
          </w:tcPr>
          <w:p>
            <w:pPr>
              <w:jc w:val="center"/>
            </w:pPr>
            <w:r/>
            <w:r>
              <w:rPr>
                <w:rFonts w:ascii="Times New Roman" w:hAnsi="Times New Roman"/>
                <w:b/>
                <w:sz w:val="17"/>
              </w:rPr>
              <w:t>Per-Party</w:t>
            </w:r>
            <w:r>
              <w:br/>
            </w:r>
            <w:r>
              <w:rPr>
                <w:rFonts w:ascii="Times New Roman" w:hAnsi="Times New Roman"/>
                <w:b/>
                <w:sz w:val="17"/>
              </w:rPr>
              <w:t>(USD M)</w:t>
            </w:r>
          </w:p>
        </w:tc>
      </w:tr>
      <w:tr>
        <w:tc>
          <w:tcPr>
            <w:tcW w:type="dxa" w:w="1701"/>
          </w:tcPr>
          <w:p>
            <w:pPr>
              <w:jc w:val="center"/>
            </w:pPr>
            <w:r/>
            <w:r>
              <w:rPr>
                <w:rFonts w:ascii="Times New Roman" w:hAnsi="Times New Roman"/>
                <w:sz w:val="17"/>
              </w:rPr>
              <w:t>Band 1 (≤0.001%)</w:t>
            </w:r>
          </w:p>
        </w:tc>
        <w:tc>
          <w:tcPr>
            <w:tcW w:type="dxa" w:w="850"/>
          </w:tcPr>
          <w:p>
            <w:pPr>
              <w:jc w:val="center"/>
            </w:pPr>
            <w:r/>
            <w:r>
              <w:rPr>
                <w:rFonts w:ascii="Times New Roman" w:hAnsi="Times New Roman"/>
                <w:sz w:val="17"/>
              </w:rPr>
              <w:t>31</w:t>
            </w:r>
          </w:p>
        </w:tc>
        <w:tc>
          <w:tcPr>
            <w:tcW w:type="dxa" w:w="567"/>
          </w:tcPr>
          <w:p>
            <w:pPr>
              <w:jc w:val="center"/>
            </w:pPr>
            <w:r/>
            <w:r>
              <w:rPr>
                <w:rFonts w:ascii="Times New Roman" w:hAnsi="Times New Roman"/>
                <w:sz w:val="17"/>
              </w:rPr>
              <w:t>13</w:t>
            </w:r>
          </w:p>
        </w:tc>
        <w:tc>
          <w:tcPr>
            <w:tcW w:type="dxa" w:w="567"/>
          </w:tcPr>
          <w:p>
            <w:pPr>
              <w:jc w:val="center"/>
            </w:pPr>
            <w:r/>
            <w:r>
              <w:rPr>
                <w:rFonts w:ascii="Times New Roman" w:hAnsi="Times New Roman"/>
                <w:sz w:val="17"/>
              </w:rPr>
              <w:t>22</w:t>
            </w:r>
          </w:p>
        </w:tc>
        <w:tc>
          <w:tcPr>
            <w:tcW w:type="dxa" w:w="2835"/>
          </w:tcPr>
          <w:p>
            <w:pPr>
              <w:jc w:val="center"/>
            </w:pPr>
            <w:r/>
            <w:r>
              <w:rPr>
                <w:rFonts w:ascii="Times New Roman" w:hAnsi="Times New Roman"/>
                <w:sz w:val="17"/>
              </w:rPr>
              <w:t>7 Low, 10 Lower-mid, 9 Upper-mid, 5 High</w:t>
            </w:r>
          </w:p>
        </w:tc>
        <w:tc>
          <w:tcPr>
            <w:tcW w:type="dxa" w:w="1134"/>
          </w:tcPr>
          <w:p>
            <w:pPr>
              <w:jc w:val="center"/>
            </w:pPr>
            <w:r/>
            <w:r>
              <w:rPr>
                <w:rFonts w:ascii="Times New Roman" w:hAnsi="Times New Roman"/>
                <w:sz w:val="17"/>
              </w:rPr>
              <w:t>264.28</w:t>
            </w:r>
          </w:p>
        </w:tc>
        <w:tc>
          <w:tcPr>
            <w:tcW w:type="dxa" w:w="1134"/>
          </w:tcPr>
          <w:p>
            <w:pPr>
              <w:jc w:val="left"/>
            </w:pPr>
            <w:r/>
            <w:r>
              <w:rPr>
                <w:rFonts w:ascii="Times New Roman" w:hAnsi="Times New Roman"/>
                <w:sz w:val="17"/>
              </w:rPr>
              <w:t>8.53</w:t>
            </w:r>
          </w:p>
        </w:tc>
      </w:tr>
      <w:tr>
        <w:tc>
          <w:tcPr>
            <w:tcW w:type="dxa" w:w="1701"/>
          </w:tcPr>
          <w:p>
            <w:pPr>
              <w:jc w:val="center"/>
            </w:pPr>
            <w:r/>
            <w:r>
              <w:rPr>
                <w:rFonts w:ascii="Times New Roman" w:hAnsi="Times New Roman"/>
                <w:sz w:val="17"/>
              </w:rPr>
              <w:t>Band 2 (0.001–0.01%)</w:t>
            </w:r>
          </w:p>
        </w:tc>
        <w:tc>
          <w:tcPr>
            <w:tcW w:type="dxa" w:w="850"/>
          </w:tcPr>
          <w:p>
            <w:pPr>
              <w:jc w:val="center"/>
            </w:pPr>
            <w:r/>
            <w:r>
              <w:rPr>
                <w:rFonts w:ascii="Times New Roman" w:hAnsi="Times New Roman"/>
                <w:sz w:val="17"/>
              </w:rPr>
              <w:t>59</w:t>
            </w:r>
          </w:p>
        </w:tc>
        <w:tc>
          <w:tcPr>
            <w:tcW w:type="dxa" w:w="567"/>
          </w:tcPr>
          <w:p>
            <w:pPr>
              <w:jc w:val="center"/>
            </w:pPr>
            <w:r/>
            <w:r>
              <w:rPr>
                <w:rFonts w:ascii="Times New Roman" w:hAnsi="Times New Roman"/>
                <w:sz w:val="17"/>
              </w:rPr>
              <w:t>31</w:t>
            </w:r>
          </w:p>
        </w:tc>
        <w:tc>
          <w:tcPr>
            <w:tcW w:type="dxa" w:w="567"/>
          </w:tcPr>
          <w:p>
            <w:pPr>
              <w:jc w:val="center"/>
            </w:pPr>
            <w:r/>
            <w:r>
              <w:rPr>
                <w:rFonts w:ascii="Times New Roman" w:hAnsi="Times New Roman"/>
                <w:sz w:val="17"/>
              </w:rPr>
              <w:t>11</w:t>
            </w:r>
          </w:p>
        </w:tc>
        <w:tc>
          <w:tcPr>
            <w:tcW w:type="dxa" w:w="2835"/>
          </w:tcPr>
          <w:p>
            <w:pPr>
              <w:jc w:val="center"/>
            </w:pPr>
            <w:r/>
            <w:r>
              <w:rPr>
                <w:rFonts w:ascii="Times New Roman" w:hAnsi="Times New Roman"/>
                <w:sz w:val="17"/>
              </w:rPr>
              <w:t>19 Low, 23 Lower-mid, 14 Upper-mid, 3 High</w:t>
            </w:r>
          </w:p>
        </w:tc>
        <w:tc>
          <w:tcPr>
            <w:tcW w:type="dxa" w:w="1134"/>
          </w:tcPr>
          <w:p>
            <w:pPr>
              <w:jc w:val="center"/>
            </w:pPr>
            <w:r/>
            <w:r>
              <w:rPr>
                <w:rFonts w:ascii="Times New Roman" w:hAnsi="Times New Roman"/>
                <w:sz w:val="17"/>
              </w:rPr>
              <w:t>435.92</w:t>
            </w:r>
          </w:p>
        </w:tc>
        <w:tc>
          <w:tcPr>
            <w:tcW w:type="dxa" w:w="1134"/>
          </w:tcPr>
          <w:p>
            <w:pPr>
              <w:jc w:val="left"/>
            </w:pPr>
            <w:r/>
            <w:r>
              <w:rPr>
                <w:rFonts w:ascii="Times New Roman" w:hAnsi="Times New Roman"/>
                <w:sz w:val="17"/>
              </w:rPr>
              <w:t>7.39</w:t>
            </w:r>
          </w:p>
        </w:tc>
      </w:tr>
      <w:tr>
        <w:tc>
          <w:tcPr>
            <w:tcW w:type="dxa" w:w="1701"/>
          </w:tcPr>
          <w:p>
            <w:pPr>
              <w:jc w:val="center"/>
            </w:pPr>
            <w:r/>
            <w:r>
              <w:rPr>
                <w:rFonts w:ascii="Times New Roman" w:hAnsi="Times New Roman"/>
                <w:sz w:val="17"/>
              </w:rPr>
              <w:t>Band 3 (0.01–0.1%)</w:t>
            </w:r>
          </w:p>
        </w:tc>
        <w:tc>
          <w:tcPr>
            <w:tcW w:type="dxa" w:w="850"/>
          </w:tcPr>
          <w:p>
            <w:pPr>
              <w:jc w:val="center"/>
            </w:pPr>
            <w:r/>
            <w:r>
              <w:rPr>
                <w:rFonts w:ascii="Times New Roman" w:hAnsi="Times New Roman"/>
                <w:sz w:val="17"/>
              </w:rPr>
              <w:t>30</w:t>
            </w:r>
          </w:p>
        </w:tc>
        <w:tc>
          <w:tcPr>
            <w:tcW w:type="dxa" w:w="567"/>
          </w:tcPr>
          <w:p>
            <w:pPr>
              <w:jc w:val="center"/>
            </w:pPr>
            <w:r/>
            <w:r>
              <w:rPr>
                <w:rFonts w:ascii="Times New Roman" w:hAnsi="Times New Roman"/>
                <w:sz w:val="17"/>
              </w:rPr>
              <w:t>0</w:t>
            </w:r>
          </w:p>
        </w:tc>
        <w:tc>
          <w:tcPr>
            <w:tcW w:type="dxa" w:w="567"/>
          </w:tcPr>
          <w:p>
            <w:pPr>
              <w:jc w:val="center"/>
            </w:pPr>
            <w:r/>
            <w:r>
              <w:rPr>
                <w:rFonts w:ascii="Times New Roman" w:hAnsi="Times New Roman"/>
                <w:sz w:val="17"/>
              </w:rPr>
              <w:t>4</w:t>
            </w:r>
          </w:p>
        </w:tc>
        <w:tc>
          <w:tcPr>
            <w:tcW w:type="dxa" w:w="2835"/>
          </w:tcPr>
          <w:p>
            <w:pPr>
              <w:jc w:val="center"/>
            </w:pPr>
            <w:r/>
            <w:r>
              <w:rPr>
                <w:rFonts w:ascii="Times New Roman" w:hAnsi="Times New Roman"/>
                <w:sz w:val="17"/>
              </w:rPr>
              <w:t>12 Lower-mid, 15 Upper-mid, 3 High</w:t>
            </w:r>
          </w:p>
        </w:tc>
        <w:tc>
          <w:tcPr>
            <w:tcW w:type="dxa" w:w="1134"/>
          </w:tcPr>
          <w:p>
            <w:pPr>
              <w:jc w:val="center"/>
            </w:pPr>
            <w:r/>
            <w:r>
              <w:rPr>
                <w:rFonts w:ascii="Times New Roman" w:hAnsi="Times New Roman"/>
                <w:sz w:val="17"/>
              </w:rPr>
              <w:t>187.55</w:t>
            </w:r>
          </w:p>
        </w:tc>
        <w:tc>
          <w:tcPr>
            <w:tcW w:type="dxa" w:w="1134"/>
          </w:tcPr>
          <w:p>
            <w:pPr>
              <w:jc w:val="left"/>
            </w:pPr>
            <w:r/>
            <w:r>
              <w:rPr>
                <w:rFonts w:ascii="Times New Roman" w:hAnsi="Times New Roman"/>
                <w:sz w:val="17"/>
              </w:rPr>
              <w:t>6.25</w:t>
            </w:r>
          </w:p>
        </w:tc>
      </w:tr>
      <w:tr>
        <w:tc>
          <w:tcPr>
            <w:tcW w:type="dxa" w:w="1701"/>
          </w:tcPr>
          <w:p>
            <w:pPr>
              <w:jc w:val="center"/>
            </w:pPr>
            <w:r/>
            <w:r>
              <w:rPr>
                <w:rFonts w:ascii="Times New Roman" w:hAnsi="Times New Roman"/>
                <w:sz w:val="17"/>
              </w:rPr>
              <w:t>Band 4 (0.1–1.0%)</w:t>
            </w:r>
          </w:p>
        </w:tc>
        <w:tc>
          <w:tcPr>
            <w:tcW w:type="dxa" w:w="850"/>
          </w:tcPr>
          <w:p>
            <w:pPr>
              <w:jc w:val="center"/>
            </w:pPr>
            <w:r/>
            <w:r>
              <w:rPr>
                <w:rFonts w:ascii="Times New Roman" w:hAnsi="Times New Roman"/>
                <w:sz w:val="17"/>
              </w:rPr>
              <w:t>18</w:t>
            </w:r>
          </w:p>
        </w:tc>
        <w:tc>
          <w:tcPr>
            <w:tcW w:type="dxa" w:w="567"/>
          </w:tcPr>
          <w:p>
            <w:pPr>
              <w:jc w:val="center"/>
            </w:pPr>
            <w:r/>
            <w:r>
              <w:rPr>
                <w:rFonts w:ascii="Times New Roman" w:hAnsi="Times New Roman"/>
                <w:sz w:val="17"/>
              </w:rPr>
              <w:t>0</w:t>
            </w:r>
          </w:p>
        </w:tc>
        <w:tc>
          <w:tcPr>
            <w:tcW w:type="dxa" w:w="567"/>
          </w:tcPr>
          <w:p>
            <w:pPr>
              <w:jc w:val="center"/>
            </w:pPr>
            <w:r/>
            <w:r>
              <w:rPr>
                <w:rFonts w:ascii="Times New Roman" w:hAnsi="Times New Roman"/>
                <w:sz w:val="17"/>
              </w:rPr>
              <w:t>2</w:t>
            </w:r>
          </w:p>
        </w:tc>
        <w:tc>
          <w:tcPr>
            <w:tcW w:type="dxa" w:w="2835"/>
          </w:tcPr>
          <w:p>
            <w:pPr>
              <w:jc w:val="center"/>
            </w:pPr>
            <w:r/>
            <w:r>
              <w:rPr>
                <w:rFonts w:ascii="Times New Roman" w:hAnsi="Times New Roman"/>
                <w:sz w:val="17"/>
              </w:rPr>
              <w:t>5 Lower-mid, 12 Upper-mid, 1 High</w:t>
            </w:r>
          </w:p>
        </w:tc>
        <w:tc>
          <w:tcPr>
            <w:tcW w:type="dxa" w:w="1134"/>
          </w:tcPr>
          <w:p>
            <w:pPr>
              <w:jc w:val="center"/>
            </w:pPr>
            <w:r/>
            <w:r>
              <w:rPr>
                <w:rFonts w:ascii="Times New Roman" w:hAnsi="Times New Roman"/>
                <w:sz w:val="17"/>
              </w:rPr>
              <w:t>97.19</w:t>
            </w:r>
          </w:p>
        </w:tc>
        <w:tc>
          <w:tcPr>
            <w:tcW w:type="dxa" w:w="1134"/>
          </w:tcPr>
          <w:p>
            <w:pPr>
              <w:jc w:val="left"/>
            </w:pPr>
            <w:r/>
            <w:r>
              <w:rPr>
                <w:rFonts w:ascii="Times New Roman" w:hAnsi="Times New Roman"/>
                <w:sz w:val="17"/>
              </w:rPr>
              <w:t>5.40</w:t>
            </w:r>
          </w:p>
        </w:tc>
      </w:tr>
      <w:tr>
        <w:tc>
          <w:tcPr>
            <w:tcW w:type="dxa" w:w="1701"/>
          </w:tcPr>
          <w:p>
            <w:pPr>
              <w:jc w:val="center"/>
            </w:pPr>
            <w:r/>
            <w:r>
              <w:rPr>
                <w:rFonts w:ascii="Times New Roman" w:hAnsi="Times New Roman"/>
                <w:sz w:val="17"/>
              </w:rPr>
              <w:t>Band 5 (1.0–10.0%)</w:t>
            </w:r>
          </w:p>
        </w:tc>
        <w:tc>
          <w:tcPr>
            <w:tcW w:type="dxa" w:w="850"/>
          </w:tcPr>
          <w:p>
            <w:pPr>
              <w:jc w:val="center"/>
            </w:pPr>
            <w:r/>
            <w:r>
              <w:rPr>
                <w:rFonts w:ascii="Times New Roman" w:hAnsi="Times New Roman"/>
                <w:sz w:val="17"/>
              </w:rPr>
              <w:t>3</w:t>
            </w:r>
          </w:p>
        </w:tc>
        <w:tc>
          <w:tcPr>
            <w:tcW w:type="dxa" w:w="567"/>
          </w:tcPr>
          <w:p>
            <w:pPr>
              <w:jc w:val="center"/>
            </w:pPr>
            <w:r/>
            <w:r>
              <w:rPr>
                <w:rFonts w:ascii="Times New Roman" w:hAnsi="Times New Roman"/>
                <w:sz w:val="17"/>
              </w:rPr>
              <w:t>0</w:t>
            </w:r>
          </w:p>
        </w:tc>
        <w:tc>
          <w:tcPr>
            <w:tcW w:type="dxa" w:w="567"/>
          </w:tcPr>
          <w:p>
            <w:pPr>
              <w:jc w:val="center"/>
            </w:pPr>
            <w:r/>
            <w:r>
              <w:rPr>
                <w:rFonts w:ascii="Times New Roman" w:hAnsi="Times New Roman"/>
                <w:sz w:val="17"/>
              </w:rPr>
              <w:t>0</w:t>
            </w:r>
          </w:p>
        </w:tc>
        <w:tc>
          <w:tcPr>
            <w:tcW w:type="dxa" w:w="2835"/>
          </w:tcPr>
          <w:p>
            <w:pPr>
              <w:jc w:val="center"/>
            </w:pPr>
            <w:r/>
            <w:r>
              <w:rPr>
                <w:rFonts w:ascii="Times New Roman" w:hAnsi="Times New Roman"/>
                <w:sz w:val="17"/>
              </w:rPr>
              <w:t>1 Lower-mid, 2 Upper-mid</w:t>
            </w:r>
          </w:p>
        </w:tc>
        <w:tc>
          <w:tcPr>
            <w:tcW w:type="dxa" w:w="1134"/>
          </w:tcPr>
          <w:p>
            <w:pPr>
              <w:jc w:val="center"/>
            </w:pPr>
            <w:r/>
            <w:r>
              <w:rPr>
                <w:rFonts w:ascii="Times New Roman" w:hAnsi="Times New Roman"/>
                <w:sz w:val="17"/>
              </w:rPr>
              <w:t>12.79</w:t>
            </w:r>
          </w:p>
        </w:tc>
        <w:tc>
          <w:tcPr>
            <w:tcW w:type="dxa" w:w="1134"/>
          </w:tcPr>
          <w:p>
            <w:pPr>
              <w:jc w:val="left"/>
            </w:pPr>
            <w:r/>
            <w:r>
              <w:rPr>
                <w:rFonts w:ascii="Times New Roman" w:hAnsi="Times New Roman"/>
                <w:sz w:val="17"/>
              </w:rPr>
              <w:t>4.26</w:t>
            </w:r>
          </w:p>
        </w:tc>
      </w:tr>
      <w:tr>
        <w:tc>
          <w:tcPr>
            <w:tcW w:type="dxa" w:w="1701"/>
          </w:tcPr>
          <w:p>
            <w:pPr>
              <w:jc w:val="center"/>
            </w:pPr>
            <w:r/>
            <w:r>
              <w:rPr>
                <w:rFonts w:ascii="Times New Roman" w:hAnsi="Times New Roman"/>
                <w:sz w:val="17"/>
              </w:rPr>
              <w:t>Band 6 (&gt;10.0%)</w:t>
            </w:r>
          </w:p>
        </w:tc>
        <w:tc>
          <w:tcPr>
            <w:tcW w:type="dxa" w:w="850"/>
          </w:tcPr>
          <w:p>
            <w:pPr>
              <w:jc w:val="center"/>
            </w:pPr>
            <w:r/>
            <w:r>
              <w:rPr>
                <w:rFonts w:ascii="Times New Roman" w:hAnsi="Times New Roman"/>
                <w:sz w:val="17"/>
              </w:rPr>
              <w:t>1</w:t>
            </w:r>
          </w:p>
        </w:tc>
        <w:tc>
          <w:tcPr>
            <w:tcW w:type="dxa" w:w="567"/>
          </w:tcPr>
          <w:p>
            <w:pPr>
              <w:jc w:val="center"/>
            </w:pPr>
            <w:r/>
            <w:r>
              <w:rPr>
                <w:rFonts w:ascii="Times New Roman" w:hAnsi="Times New Roman"/>
                <w:sz w:val="17"/>
              </w:rPr>
              <w:t>0</w:t>
            </w:r>
          </w:p>
        </w:tc>
        <w:tc>
          <w:tcPr>
            <w:tcW w:type="dxa" w:w="567"/>
          </w:tcPr>
          <w:p>
            <w:pPr>
              <w:jc w:val="center"/>
            </w:pPr>
            <w:r/>
            <w:r>
              <w:rPr>
                <w:rFonts w:ascii="Times New Roman" w:hAnsi="Times New Roman"/>
                <w:sz w:val="17"/>
              </w:rPr>
              <w:t>0</w:t>
            </w:r>
          </w:p>
        </w:tc>
        <w:tc>
          <w:tcPr>
            <w:tcW w:type="dxa" w:w="2835"/>
          </w:tcPr>
          <w:p>
            <w:pPr>
              <w:jc w:val="center"/>
            </w:pPr>
            <w:r/>
            <w:r>
              <w:rPr>
                <w:rFonts w:ascii="Times New Roman" w:hAnsi="Times New Roman"/>
                <w:sz w:val="17"/>
              </w:rPr>
              <w:t>1 Upper-mid</w:t>
            </w:r>
          </w:p>
        </w:tc>
        <w:tc>
          <w:tcPr>
            <w:tcW w:type="dxa" w:w="1134"/>
          </w:tcPr>
          <w:p>
            <w:pPr>
              <w:jc w:val="center"/>
            </w:pPr>
            <w:r/>
            <w:r>
              <w:rPr>
                <w:rFonts w:ascii="Times New Roman" w:hAnsi="Times New Roman"/>
                <w:sz w:val="17"/>
              </w:rPr>
              <w:t>2.27</w:t>
            </w:r>
          </w:p>
        </w:tc>
        <w:tc>
          <w:tcPr>
            <w:tcW w:type="dxa" w:w="1134"/>
          </w:tcPr>
          <w:p>
            <w:pPr>
              <w:jc w:val="left"/>
            </w:pPr>
            <w:r/>
            <w:r>
              <w:rPr>
                <w:rFonts w:ascii="Times New Roman" w:hAnsi="Times New Roman"/>
                <w:sz w:val="17"/>
              </w:rPr>
              <w:t>2.27</w:t>
            </w:r>
          </w:p>
        </w:tc>
      </w:tr>
    </w:tbl>
    <w:p>
      <w:pPr>
        <w:jc w:val="center"/>
      </w:pPr>
      <w:r>
        <w:rPr>
          <w:rFonts w:ascii="Times New Roman" w:hAnsi="Times New Roman"/>
          <w:i/>
          <w:sz w:val="17"/>
        </w:rPr>
        <w:t>Table D1. IUSAF band composition (142 eligible Parties, high-income excluded)</w:t>
      </w:r>
    </w:p>
    <w:p/>
    <w:p>
      <w:pPr>
        <w:spacing w:after="120"/>
      </w:pPr>
      <w:r>
        <w:t>Table D2 shows how total band allocations change relative to the pure IUSAF baseline as TSAC increases. Positive values indicate the band gains funds; negative values indicate the band loses funds.</w:t>
      </w:r>
    </w:p>
    <w:tbl>
      <w:tblPr>
        <w:tblStyle w:val="TableGrid"/>
        <w:tblW w:type="auto" w:w="0"/>
        <w:jc w:val="center"/>
        <w:tblLook w:firstColumn="1" w:firstRow="1" w:lastColumn="0" w:lastRow="0" w:noHBand="0" w:noVBand="1" w:val="04A0"/>
      </w:tblPr>
      <w:tblGrid>
        <w:gridCol w:w="1344"/>
        <w:gridCol w:w="1344"/>
        <w:gridCol w:w="1344"/>
        <w:gridCol w:w="1344"/>
        <w:gridCol w:w="1344"/>
        <w:gridCol w:w="1344"/>
        <w:gridCol w:w="1344"/>
      </w:tblGrid>
      <w:tr>
        <w:tc>
          <w:tcPr>
            <w:tcW w:type="dxa" w:w="1417"/>
            <w:shd w:fill="D9D9D9"/>
          </w:tcPr>
          <w:p>
            <w:pPr>
              <w:jc w:val="center"/>
            </w:pPr>
            <w:r/>
            <w:r>
              <w:rPr>
                <w:rFonts w:ascii="Times New Roman" w:hAnsi="Times New Roman"/>
                <w:b/>
                <w:sz w:val="17"/>
              </w:rPr>
              <w:t>Band</w:t>
            </w:r>
          </w:p>
        </w:tc>
        <w:tc>
          <w:tcPr>
            <w:tcW w:type="dxa" w:w="850"/>
            <w:shd w:fill="D9D9D9"/>
          </w:tcPr>
          <w:p>
            <w:pPr>
              <w:jc w:val="center"/>
            </w:pPr>
            <w:r/>
            <w:r>
              <w:rPr>
                <w:rFonts w:ascii="Times New Roman" w:hAnsi="Times New Roman"/>
                <w:b/>
                <w:sz w:val="17"/>
              </w:rPr>
              <w:t>Parties</w:t>
            </w:r>
          </w:p>
        </w:tc>
        <w:tc>
          <w:tcPr>
            <w:tcW w:type="dxa" w:w="1417"/>
            <w:shd w:fill="D9D9D9"/>
          </w:tcPr>
          <w:p>
            <w:pPr>
              <w:jc w:val="center"/>
            </w:pPr>
            <w:r/>
            <w:r>
              <w:rPr>
                <w:rFonts w:ascii="Times New Roman" w:hAnsi="Times New Roman"/>
                <w:b/>
                <w:sz w:val="17"/>
              </w:rPr>
              <w:t>Change at</w:t>
            </w:r>
            <w:r>
              <w:br/>
            </w:r>
            <w:r>
              <w:rPr>
                <w:rFonts w:ascii="Times New Roman" w:hAnsi="Times New Roman"/>
                <w:b/>
                <w:sz w:val="17"/>
              </w:rPr>
              <w:t>1.5% (USD M)</w:t>
            </w:r>
          </w:p>
        </w:tc>
        <w:tc>
          <w:tcPr>
            <w:tcW w:type="dxa" w:w="1417"/>
            <w:shd w:fill="D9D9D9"/>
          </w:tcPr>
          <w:p>
            <w:pPr>
              <w:jc w:val="center"/>
            </w:pPr>
            <w:r/>
            <w:r>
              <w:rPr>
                <w:rFonts w:ascii="Times New Roman" w:hAnsi="Times New Roman"/>
                <w:b/>
                <w:sz w:val="17"/>
              </w:rPr>
              <w:t>Change at</w:t>
            </w:r>
            <w:r>
              <w:br/>
            </w:r>
            <w:r>
              <w:rPr>
                <w:rFonts w:ascii="Times New Roman" w:hAnsi="Times New Roman"/>
                <w:b/>
                <w:sz w:val="17"/>
              </w:rPr>
              <w:t>2.5% (USD M)</w:t>
            </w:r>
          </w:p>
        </w:tc>
        <w:tc>
          <w:tcPr>
            <w:tcW w:type="dxa" w:w="1417"/>
            <w:shd w:fill="D9D9D9"/>
          </w:tcPr>
          <w:p>
            <w:pPr>
              <w:jc w:val="center"/>
            </w:pPr>
            <w:r/>
            <w:r>
              <w:rPr>
                <w:rFonts w:ascii="Times New Roman" w:hAnsi="Times New Roman"/>
                <w:b/>
                <w:sz w:val="17"/>
              </w:rPr>
              <w:t>Change at</w:t>
            </w:r>
            <w:r>
              <w:br/>
            </w:r>
            <w:r>
              <w:rPr>
                <w:rFonts w:ascii="Times New Roman" w:hAnsi="Times New Roman"/>
                <w:b/>
                <w:sz w:val="17"/>
              </w:rPr>
              <w:t>3.0% (USD M)</w:t>
            </w:r>
          </w:p>
        </w:tc>
        <w:tc>
          <w:tcPr>
            <w:tcW w:type="dxa" w:w="1417"/>
            <w:shd w:fill="D9D9D9"/>
          </w:tcPr>
          <w:p>
            <w:pPr>
              <w:jc w:val="center"/>
            </w:pPr>
            <w:r/>
            <w:r>
              <w:rPr>
                <w:rFonts w:ascii="Times New Roman" w:hAnsi="Times New Roman"/>
                <w:b/>
                <w:sz w:val="17"/>
              </w:rPr>
              <w:t>Change at</w:t>
            </w:r>
            <w:r>
              <w:br/>
            </w:r>
            <w:r>
              <w:rPr>
                <w:rFonts w:ascii="Times New Roman" w:hAnsi="Times New Roman"/>
                <w:b/>
                <w:sz w:val="17"/>
              </w:rPr>
              <w:t>3.5% (USD M)</w:t>
            </w:r>
          </w:p>
        </w:tc>
        <w:tc>
          <w:tcPr>
            <w:tcW w:type="dxa" w:w="1417"/>
            <w:shd w:fill="D9D9D9"/>
          </w:tcPr>
          <w:p>
            <w:pPr>
              <w:jc w:val="center"/>
            </w:pPr>
            <w:r/>
            <w:r>
              <w:rPr>
                <w:rFonts w:ascii="Times New Roman" w:hAnsi="Times New Roman"/>
                <w:b/>
                <w:sz w:val="17"/>
              </w:rPr>
              <w:t>Change at</w:t>
            </w:r>
            <w:r>
              <w:br/>
            </w:r>
            <w:r>
              <w:rPr>
                <w:rFonts w:ascii="Times New Roman" w:hAnsi="Times New Roman"/>
                <w:b/>
                <w:sz w:val="17"/>
              </w:rPr>
              <w:t>5.0% (USD M)</w:t>
            </w:r>
          </w:p>
        </w:tc>
      </w:tr>
      <w:tr>
        <w:tc>
          <w:tcPr>
            <w:tcW w:type="dxa" w:w="1417"/>
          </w:tcPr>
          <w:p>
            <w:pPr>
              <w:jc w:val="center"/>
            </w:pPr>
            <w:r/>
            <w:r>
              <w:rPr>
                <w:rFonts w:ascii="Times New Roman" w:hAnsi="Times New Roman"/>
                <w:sz w:val="17"/>
              </w:rPr>
              <w:t>Band 1</w:t>
            </w:r>
          </w:p>
        </w:tc>
        <w:tc>
          <w:tcPr>
            <w:tcW w:type="dxa" w:w="850"/>
          </w:tcPr>
          <w:p>
            <w:pPr>
              <w:jc w:val="center"/>
            </w:pPr>
            <w:r/>
            <w:r>
              <w:rPr>
                <w:rFonts w:ascii="Times New Roman" w:hAnsi="Times New Roman"/>
                <w:sz w:val="17"/>
              </w:rPr>
              <w:t>31</w:t>
            </w:r>
          </w:p>
        </w:tc>
        <w:tc>
          <w:tcPr>
            <w:tcW w:type="dxa" w:w="1417"/>
          </w:tcPr>
          <w:p>
            <w:pPr>
              <w:jc w:val="center"/>
            </w:pPr>
            <w:r/>
            <w:r>
              <w:rPr>
                <w:rFonts w:ascii="Times New Roman" w:hAnsi="Times New Roman"/>
                <w:sz w:val="17"/>
              </w:rPr>
              <w:t>+5.25</w:t>
            </w:r>
          </w:p>
        </w:tc>
        <w:tc>
          <w:tcPr>
            <w:tcW w:type="dxa" w:w="1417"/>
          </w:tcPr>
          <w:p>
            <w:pPr>
              <w:jc w:val="center"/>
            </w:pPr>
            <w:r/>
            <w:r>
              <w:rPr>
                <w:rFonts w:ascii="Times New Roman" w:hAnsi="Times New Roman"/>
                <w:sz w:val="17"/>
              </w:rPr>
              <w:t>+2.75</w:t>
            </w:r>
          </w:p>
        </w:tc>
        <w:tc>
          <w:tcPr>
            <w:tcW w:type="dxa" w:w="1417"/>
          </w:tcPr>
          <w:p>
            <w:pPr>
              <w:jc w:val="center"/>
            </w:pPr>
            <w:r/>
            <w:r>
              <w:rPr>
                <w:rFonts w:ascii="Times New Roman" w:hAnsi="Times New Roman"/>
                <w:sz w:val="17"/>
              </w:rPr>
              <w:t>+1.50</w:t>
            </w:r>
          </w:p>
        </w:tc>
        <w:tc>
          <w:tcPr>
            <w:tcW w:type="dxa" w:w="1417"/>
          </w:tcPr>
          <w:p>
            <w:pPr>
              <w:jc w:val="center"/>
            </w:pPr>
            <w:r/>
            <w:r>
              <w:rPr>
                <w:rFonts w:ascii="Times New Roman" w:hAnsi="Times New Roman"/>
                <w:sz w:val="17"/>
              </w:rPr>
              <w:t>+0.26</w:t>
            </w:r>
          </w:p>
        </w:tc>
        <w:tc>
          <w:tcPr>
            <w:tcW w:type="dxa" w:w="1417"/>
          </w:tcPr>
          <w:p>
            <w:pPr>
              <w:jc w:val="left"/>
            </w:pPr>
            <w:r/>
            <w:r>
              <w:rPr>
                <w:rFonts w:ascii="Times New Roman" w:hAnsi="Times New Roman"/>
                <w:sz w:val="17"/>
              </w:rPr>
              <w:t>-3.49</w:t>
            </w:r>
          </w:p>
        </w:tc>
      </w:tr>
      <w:tr>
        <w:tc>
          <w:tcPr>
            <w:tcW w:type="dxa" w:w="1417"/>
          </w:tcPr>
          <w:p>
            <w:pPr>
              <w:jc w:val="center"/>
            </w:pPr>
            <w:r/>
            <w:r>
              <w:rPr>
                <w:rFonts w:ascii="Times New Roman" w:hAnsi="Times New Roman"/>
                <w:b/>
                <w:color w:val="CC0000"/>
                <w:sz w:val="17"/>
              </w:rPr>
              <w:t>Band 2</w:t>
            </w:r>
          </w:p>
        </w:tc>
        <w:tc>
          <w:tcPr>
            <w:tcW w:type="dxa" w:w="850"/>
          </w:tcPr>
          <w:p>
            <w:pPr>
              <w:jc w:val="center"/>
            </w:pPr>
            <w:r/>
            <w:r>
              <w:rPr>
                <w:rFonts w:ascii="Times New Roman" w:hAnsi="Times New Roman"/>
                <w:b/>
                <w:color w:val="CC0000"/>
                <w:sz w:val="17"/>
              </w:rPr>
              <w:t>59</w:t>
            </w:r>
          </w:p>
        </w:tc>
        <w:tc>
          <w:tcPr>
            <w:tcW w:type="dxa" w:w="1417"/>
          </w:tcPr>
          <w:p>
            <w:pPr>
              <w:jc w:val="center"/>
            </w:pPr>
            <w:r/>
            <w:r>
              <w:rPr>
                <w:rFonts w:ascii="Times New Roman" w:hAnsi="Times New Roman"/>
                <w:b/>
                <w:color w:val="CC0000"/>
                <w:sz w:val="17"/>
              </w:rPr>
              <w:t>-6.52</w:t>
            </w:r>
          </w:p>
        </w:tc>
        <w:tc>
          <w:tcPr>
            <w:tcW w:type="dxa" w:w="1417"/>
          </w:tcPr>
          <w:p>
            <w:pPr>
              <w:jc w:val="center"/>
            </w:pPr>
            <w:r/>
            <w:r>
              <w:rPr>
                <w:rFonts w:ascii="Times New Roman" w:hAnsi="Times New Roman"/>
                <w:b/>
                <w:color w:val="CC0000"/>
                <w:sz w:val="17"/>
              </w:rPr>
              <w:t>-7.79</w:t>
            </w:r>
          </w:p>
        </w:tc>
        <w:tc>
          <w:tcPr>
            <w:tcW w:type="dxa" w:w="1417"/>
          </w:tcPr>
          <w:p>
            <w:pPr>
              <w:jc w:val="center"/>
            </w:pPr>
            <w:r/>
            <w:r>
              <w:rPr>
                <w:rFonts w:ascii="Times New Roman" w:hAnsi="Times New Roman"/>
                <w:b/>
                <w:color w:val="CC0000"/>
                <w:sz w:val="17"/>
              </w:rPr>
              <w:t>-8.42</w:t>
            </w:r>
          </w:p>
        </w:tc>
        <w:tc>
          <w:tcPr>
            <w:tcW w:type="dxa" w:w="1417"/>
          </w:tcPr>
          <w:p>
            <w:pPr>
              <w:jc w:val="center"/>
            </w:pPr>
            <w:r/>
            <w:r>
              <w:rPr>
                <w:rFonts w:ascii="Times New Roman" w:hAnsi="Times New Roman"/>
                <w:b/>
                <w:color w:val="CC0000"/>
                <w:sz w:val="17"/>
              </w:rPr>
              <w:t>-9.06</w:t>
            </w:r>
          </w:p>
        </w:tc>
        <w:tc>
          <w:tcPr>
            <w:tcW w:type="dxa" w:w="1417"/>
          </w:tcPr>
          <w:p>
            <w:pPr>
              <w:jc w:val="left"/>
            </w:pPr>
            <w:r/>
            <w:r>
              <w:rPr>
                <w:rFonts w:ascii="Times New Roman" w:hAnsi="Times New Roman"/>
                <w:b/>
                <w:color w:val="CC0000"/>
                <w:sz w:val="17"/>
              </w:rPr>
              <w:t>-10.96</w:t>
            </w:r>
          </w:p>
        </w:tc>
      </w:tr>
      <w:tr>
        <w:tc>
          <w:tcPr>
            <w:tcW w:type="dxa" w:w="1417"/>
          </w:tcPr>
          <w:p>
            <w:pPr>
              <w:jc w:val="center"/>
            </w:pPr>
            <w:r/>
            <w:r>
              <w:rPr>
                <w:rFonts w:ascii="Times New Roman" w:hAnsi="Times New Roman"/>
                <w:sz w:val="17"/>
              </w:rPr>
              <w:t>Band 3</w:t>
            </w:r>
          </w:p>
        </w:tc>
        <w:tc>
          <w:tcPr>
            <w:tcW w:type="dxa" w:w="850"/>
          </w:tcPr>
          <w:p>
            <w:pPr>
              <w:jc w:val="center"/>
            </w:pPr>
            <w:r/>
            <w:r>
              <w:rPr>
                <w:rFonts w:ascii="Times New Roman" w:hAnsi="Times New Roman"/>
                <w:sz w:val="17"/>
              </w:rPr>
              <w:t>30</w:t>
            </w:r>
          </w:p>
        </w:tc>
        <w:tc>
          <w:tcPr>
            <w:tcW w:type="dxa" w:w="1417"/>
          </w:tcPr>
          <w:p>
            <w:pPr>
              <w:jc w:val="center"/>
            </w:pPr>
            <w:r/>
            <w:r>
              <w:rPr>
                <w:rFonts w:ascii="Times New Roman" w:hAnsi="Times New Roman"/>
                <w:sz w:val="17"/>
              </w:rPr>
              <w:t>-3.01</w:t>
            </w:r>
          </w:p>
        </w:tc>
        <w:tc>
          <w:tcPr>
            <w:tcW w:type="dxa" w:w="1417"/>
          </w:tcPr>
          <w:p>
            <w:pPr>
              <w:jc w:val="center"/>
            </w:pPr>
            <w:r/>
            <w:r>
              <w:rPr>
                <w:rFonts w:ascii="Times New Roman" w:hAnsi="Times New Roman"/>
                <w:sz w:val="17"/>
              </w:rPr>
              <w:t>-3.32</w:t>
            </w:r>
          </w:p>
        </w:tc>
        <w:tc>
          <w:tcPr>
            <w:tcW w:type="dxa" w:w="1417"/>
          </w:tcPr>
          <w:p>
            <w:pPr>
              <w:jc w:val="center"/>
            </w:pPr>
            <w:r/>
            <w:r>
              <w:rPr>
                <w:rFonts w:ascii="Times New Roman" w:hAnsi="Times New Roman"/>
                <w:sz w:val="17"/>
              </w:rPr>
              <w:t>-3.48</w:t>
            </w:r>
          </w:p>
        </w:tc>
        <w:tc>
          <w:tcPr>
            <w:tcW w:type="dxa" w:w="1417"/>
          </w:tcPr>
          <w:p>
            <w:pPr>
              <w:jc w:val="center"/>
            </w:pPr>
            <w:r/>
            <w:r>
              <w:rPr>
                <w:rFonts w:ascii="Times New Roman" w:hAnsi="Times New Roman"/>
                <w:sz w:val="17"/>
              </w:rPr>
              <w:t>-3.63</w:t>
            </w:r>
          </w:p>
        </w:tc>
        <w:tc>
          <w:tcPr>
            <w:tcW w:type="dxa" w:w="1417"/>
          </w:tcPr>
          <w:p>
            <w:pPr>
              <w:jc w:val="left"/>
            </w:pPr>
            <w:r/>
            <w:r>
              <w:rPr>
                <w:rFonts w:ascii="Times New Roman" w:hAnsi="Times New Roman"/>
                <w:sz w:val="17"/>
              </w:rPr>
              <w:t>-4.10</w:t>
            </w:r>
          </w:p>
        </w:tc>
      </w:tr>
      <w:tr>
        <w:tc>
          <w:tcPr>
            <w:tcW w:type="dxa" w:w="1417"/>
          </w:tcPr>
          <w:p>
            <w:pPr>
              <w:jc w:val="center"/>
            </w:pPr>
            <w:r/>
            <w:r>
              <w:rPr>
                <w:rFonts w:ascii="Times New Roman" w:hAnsi="Times New Roman"/>
                <w:sz w:val="17"/>
              </w:rPr>
              <w:t>Band 4</w:t>
            </w:r>
          </w:p>
        </w:tc>
        <w:tc>
          <w:tcPr>
            <w:tcW w:type="dxa" w:w="850"/>
          </w:tcPr>
          <w:p>
            <w:pPr>
              <w:jc w:val="center"/>
            </w:pPr>
            <w:r/>
            <w:r>
              <w:rPr>
                <w:rFonts w:ascii="Times New Roman" w:hAnsi="Times New Roman"/>
                <w:sz w:val="17"/>
              </w:rPr>
              <w:t>18</w:t>
            </w:r>
          </w:p>
        </w:tc>
        <w:tc>
          <w:tcPr>
            <w:tcW w:type="dxa" w:w="1417"/>
          </w:tcPr>
          <w:p>
            <w:pPr>
              <w:jc w:val="center"/>
            </w:pPr>
            <w:r/>
            <w:r>
              <w:rPr>
                <w:rFonts w:ascii="Times New Roman" w:hAnsi="Times New Roman"/>
                <w:sz w:val="17"/>
              </w:rPr>
              <w:t>+0.62</w:t>
            </w:r>
          </w:p>
        </w:tc>
        <w:tc>
          <w:tcPr>
            <w:tcW w:type="dxa" w:w="1417"/>
          </w:tcPr>
          <w:p>
            <w:pPr>
              <w:jc w:val="center"/>
            </w:pPr>
            <w:r/>
            <w:r>
              <w:rPr>
                <w:rFonts w:ascii="Times New Roman" w:hAnsi="Times New Roman"/>
                <w:sz w:val="17"/>
              </w:rPr>
              <w:t>+1.94</w:t>
            </w:r>
          </w:p>
        </w:tc>
        <w:tc>
          <w:tcPr>
            <w:tcW w:type="dxa" w:w="1417"/>
          </w:tcPr>
          <w:p>
            <w:pPr>
              <w:jc w:val="center"/>
            </w:pPr>
            <w:r/>
            <w:r>
              <w:rPr>
                <w:rFonts w:ascii="Times New Roman" w:hAnsi="Times New Roman"/>
                <w:sz w:val="17"/>
              </w:rPr>
              <w:t>+2.61</w:t>
            </w:r>
          </w:p>
        </w:tc>
        <w:tc>
          <w:tcPr>
            <w:tcW w:type="dxa" w:w="1417"/>
          </w:tcPr>
          <w:p>
            <w:pPr>
              <w:jc w:val="center"/>
            </w:pPr>
            <w:r/>
            <w:r>
              <w:rPr>
                <w:rFonts w:ascii="Times New Roman" w:hAnsi="Times New Roman"/>
                <w:sz w:val="17"/>
              </w:rPr>
              <w:t>+3.27</w:t>
            </w:r>
          </w:p>
        </w:tc>
        <w:tc>
          <w:tcPr>
            <w:tcW w:type="dxa" w:w="1417"/>
          </w:tcPr>
          <w:p>
            <w:pPr>
              <w:jc w:val="left"/>
            </w:pPr>
            <w:r/>
            <w:r>
              <w:rPr>
                <w:rFonts w:ascii="Times New Roman" w:hAnsi="Times New Roman"/>
                <w:sz w:val="17"/>
              </w:rPr>
              <w:t>+5.26</w:t>
            </w:r>
          </w:p>
        </w:tc>
      </w:tr>
      <w:tr>
        <w:tc>
          <w:tcPr>
            <w:tcW w:type="dxa" w:w="1417"/>
          </w:tcPr>
          <w:p>
            <w:pPr>
              <w:jc w:val="center"/>
            </w:pPr>
            <w:r/>
            <w:r>
              <w:rPr>
                <w:rFonts w:ascii="Times New Roman" w:hAnsi="Times New Roman"/>
                <w:sz w:val="17"/>
              </w:rPr>
              <w:t>Band 5</w:t>
            </w:r>
          </w:p>
        </w:tc>
        <w:tc>
          <w:tcPr>
            <w:tcW w:type="dxa" w:w="850"/>
          </w:tcPr>
          <w:p>
            <w:pPr>
              <w:jc w:val="center"/>
            </w:pPr>
            <w:r/>
            <w:r>
              <w:rPr>
                <w:rFonts w:ascii="Times New Roman" w:hAnsi="Times New Roman"/>
                <w:sz w:val="17"/>
              </w:rPr>
              <w:t>3</w:t>
            </w:r>
          </w:p>
        </w:tc>
        <w:tc>
          <w:tcPr>
            <w:tcW w:type="dxa" w:w="1417"/>
          </w:tcPr>
          <w:p>
            <w:pPr>
              <w:jc w:val="center"/>
            </w:pPr>
            <w:r/>
            <w:r>
              <w:rPr>
                <w:rFonts w:ascii="Times New Roman" w:hAnsi="Times New Roman"/>
                <w:sz w:val="17"/>
              </w:rPr>
              <w:t>+1.97</w:t>
            </w:r>
          </w:p>
        </w:tc>
        <w:tc>
          <w:tcPr>
            <w:tcW w:type="dxa" w:w="1417"/>
          </w:tcPr>
          <w:p>
            <w:pPr>
              <w:jc w:val="center"/>
            </w:pPr>
            <w:r/>
            <w:r>
              <w:rPr>
                <w:rFonts w:ascii="Times New Roman" w:hAnsi="Times New Roman"/>
                <w:sz w:val="17"/>
              </w:rPr>
              <w:t>+3.54</w:t>
            </w:r>
          </w:p>
        </w:tc>
        <w:tc>
          <w:tcPr>
            <w:tcW w:type="dxa" w:w="1417"/>
          </w:tcPr>
          <w:p>
            <w:pPr>
              <w:jc w:val="center"/>
            </w:pPr>
            <w:r/>
            <w:r>
              <w:rPr>
                <w:rFonts w:ascii="Times New Roman" w:hAnsi="Times New Roman"/>
                <w:sz w:val="17"/>
              </w:rPr>
              <w:t>+4.32</w:t>
            </w:r>
          </w:p>
        </w:tc>
        <w:tc>
          <w:tcPr>
            <w:tcW w:type="dxa" w:w="1417"/>
          </w:tcPr>
          <w:p>
            <w:pPr>
              <w:jc w:val="center"/>
            </w:pPr>
            <w:r/>
            <w:r>
              <w:rPr>
                <w:rFonts w:ascii="Times New Roman" w:hAnsi="Times New Roman"/>
                <w:sz w:val="17"/>
              </w:rPr>
              <w:t>+5.11</w:t>
            </w:r>
          </w:p>
        </w:tc>
        <w:tc>
          <w:tcPr>
            <w:tcW w:type="dxa" w:w="1417"/>
          </w:tcPr>
          <w:p>
            <w:pPr>
              <w:jc w:val="left"/>
            </w:pPr>
            <w:r/>
            <w:r>
              <w:rPr>
                <w:rFonts w:ascii="Times New Roman" w:hAnsi="Times New Roman"/>
                <w:sz w:val="17"/>
              </w:rPr>
              <w:t>+7.46</w:t>
            </w:r>
          </w:p>
        </w:tc>
      </w:tr>
      <w:tr>
        <w:tc>
          <w:tcPr>
            <w:tcW w:type="dxa" w:w="1417"/>
          </w:tcPr>
          <w:p>
            <w:pPr>
              <w:jc w:val="center"/>
            </w:pPr>
            <w:r/>
            <w:r>
              <w:rPr>
                <w:rFonts w:ascii="Times New Roman" w:hAnsi="Times New Roman"/>
                <w:sz w:val="17"/>
              </w:rPr>
              <w:t>Band 6</w:t>
            </w:r>
          </w:p>
        </w:tc>
        <w:tc>
          <w:tcPr>
            <w:tcW w:type="dxa" w:w="850"/>
          </w:tcPr>
          <w:p>
            <w:pPr>
              <w:jc w:val="center"/>
            </w:pPr>
            <w:r/>
            <w:r>
              <w:rPr>
                <w:rFonts w:ascii="Times New Roman" w:hAnsi="Times New Roman"/>
                <w:sz w:val="17"/>
              </w:rPr>
              <w:t>1</w:t>
            </w:r>
          </w:p>
        </w:tc>
        <w:tc>
          <w:tcPr>
            <w:tcW w:type="dxa" w:w="1417"/>
          </w:tcPr>
          <w:p>
            <w:pPr>
              <w:jc w:val="center"/>
            </w:pPr>
            <w:r/>
            <w:r>
              <w:rPr>
                <w:rFonts w:ascii="Times New Roman" w:hAnsi="Times New Roman"/>
                <w:sz w:val="17"/>
              </w:rPr>
              <w:t>+1.70</w:t>
            </w:r>
          </w:p>
        </w:tc>
        <w:tc>
          <w:tcPr>
            <w:tcW w:type="dxa" w:w="1417"/>
          </w:tcPr>
          <w:p>
            <w:pPr>
              <w:jc w:val="center"/>
            </w:pPr>
            <w:r/>
            <w:r>
              <w:rPr>
                <w:rFonts w:ascii="Times New Roman" w:hAnsi="Times New Roman"/>
                <w:sz w:val="17"/>
              </w:rPr>
              <w:t>+2.88</w:t>
            </w:r>
          </w:p>
        </w:tc>
        <w:tc>
          <w:tcPr>
            <w:tcW w:type="dxa" w:w="1417"/>
          </w:tcPr>
          <w:p>
            <w:pPr>
              <w:jc w:val="center"/>
            </w:pPr>
            <w:r/>
            <w:r>
              <w:rPr>
                <w:rFonts w:ascii="Times New Roman" w:hAnsi="Times New Roman"/>
                <w:sz w:val="17"/>
              </w:rPr>
              <w:t>+3.46</w:t>
            </w:r>
          </w:p>
        </w:tc>
        <w:tc>
          <w:tcPr>
            <w:tcW w:type="dxa" w:w="1417"/>
          </w:tcPr>
          <w:p>
            <w:pPr>
              <w:jc w:val="center"/>
            </w:pPr>
            <w:r/>
            <w:r>
              <w:rPr>
                <w:rFonts w:ascii="Times New Roman" w:hAnsi="Times New Roman"/>
                <w:sz w:val="17"/>
              </w:rPr>
              <w:t>+4.05</w:t>
            </w:r>
          </w:p>
        </w:tc>
        <w:tc>
          <w:tcPr>
            <w:tcW w:type="dxa" w:w="1417"/>
          </w:tcPr>
          <w:p>
            <w:pPr>
              <w:jc w:val="left"/>
            </w:pPr>
            <w:r/>
            <w:r>
              <w:rPr>
                <w:rFonts w:ascii="Times New Roman" w:hAnsi="Times New Roman"/>
                <w:sz w:val="17"/>
              </w:rPr>
              <w:t>+5.82</w:t>
            </w:r>
          </w:p>
        </w:tc>
      </w:tr>
    </w:tbl>
    <w:p>
      <w:pPr>
        <w:jc w:val="center"/>
      </w:pPr>
      <w:r>
        <w:rPr>
          <w:rFonts w:ascii="Times New Roman" w:hAnsi="Times New Roman"/>
          <w:i/>
          <w:sz w:val="17"/>
        </w:rPr>
        <w:t>Table D2. Change in total band allocation vs pure IUSAF (USD M, SOSAC = 3%). Positive = band gains; negative = band loses.</w:t>
      </w:r>
    </w:p>
    <w:p>
      <w:pPr>
        <w:spacing w:after="120"/>
      </w:pPr>
      <w:r>
        <w:t>The transfer analysis reveals a striking pattern: Band 2, containing 59 eligible Parties (including 31 LDCs and 11 SIDS), consistently bears the largest absolute loss at every TSAC level, while Band 6 (a single upper-middle-income Party, China) receives the largest absolute gain. At the Gini-minimum (TSAC = 2.5%), Band 2 loses $7.79M while Band 6 gains $2.88M — a 126.5% increase for Band 6 funded by a 1.8% reduction for Band 2. At TSAC = 3.5% (the former 'Bounded' point), Band 2 loses $9.06M while Band 6 gains $4.05M — a 178.3% increase.</w:t>
      </w:r>
    </w:p>
    <w:p>
      <w:pPr>
        <w:spacing w:after="240"/>
      </w:pPr>
      <w:r>
        <w:t>This raises an important political consideration: TSAC reallocates funds from the largest group of developing countries (Band 2, predominantly low and lower-middle income) towards the Party with the largest land area (Band 6, an upper-middle-income country). Beyond the band-order boundary at TSAC = 3.0%, this transfer also subverts the IUSAF ranking, giving China (Band 6) a higher per-Party allocation than Brazil, India and Mexico (Band 5). The Gini-minimum (TSAC = 2.5%) represents the point at which the equality gains from this transfer are maximised while the band ordering that protects Band 5 is still preserved.</w:t>
      </w:r>
    </w:p>
    <w:p>
      <w:pPr>
        <w:pStyle w:val="Heading2"/>
      </w:pPr>
      <w:r>
        <w:rPr>
          <w:rFonts w:ascii="Times New Roman" w:hAnsi="Times New Roman"/>
        </w:rPr>
        <w:t>Reference Points Beyond the Policy Range</w:t>
      </w:r>
    </w:p>
    <w:p>
      <w:pPr>
        <w:spacing w:after="120"/>
      </w:pPr>
      <w:r>
        <w:t>For completeness, two further reference points lie beyond the band-order boundary:</w:t>
      </w:r>
    </w:p>
    <w:p>
      <w:pPr>
        <w:pStyle w:val="ListBullet"/>
      </w:pPr>
      <w:r>
        <w:rPr>
          <w:rFonts w:ascii="Times New Roman" w:hAnsi="Times New Roman"/>
          <w:b/>
        </w:rPr>
        <w:t xml:space="preserve">Bounded (TSAC = 3.5%): </w:t>
      </w:r>
      <w:r>
        <w:rPr>
          <w:rFonts w:ascii="Times New Roman" w:hAnsi="Times New Roman"/>
        </w:rPr>
        <w:t>Under earlier versions of the model this was a named balance point where IUSAF remained dominant for most Parties but band order was already overturned. Under Option D this is classified as beyond the structural boundary since Band 6 clearly exceeds Band 5 (Band 6 mean $6.33M vs Band 5 mean $5.97M). Parties may still wish to consider this setting if they are willing to accept band-order overturn in exchange for greater terrestrial stewardship recognition. Spearman ρ = 0.917.</w:t>
      </w:r>
    </w:p>
    <w:p>
      <w:pPr>
        <w:pStyle w:val="ListBullet"/>
      </w:pPr>
      <w:r>
        <w:rPr>
          <w:rFonts w:ascii="Times New Roman" w:hAnsi="Times New Roman"/>
          <w:b/>
        </w:rPr>
        <w:t xml:space="preserve">TSAC Component Overturn (TSAC ≈ 9.2%): </w:t>
      </w:r>
      <w:r>
        <w:rPr>
          <w:rFonts w:ascii="Times New Roman" w:hAnsi="Times New Roman"/>
        </w:rPr>
        <w:t>At this point the TSAC component overtakes the IUSAF component for China — meaning China's allocation is driven more by its land area than by its inverted UN Scale share. This is far beyond the policy-relevant range. Spearman ρ = 0.696, indicating substantial rank reordering.</w:t>
      </w:r>
    </w:p>
    <w:p/>
    <w:p>
      <w:pPr>
        <w:pStyle w:val="Heading2"/>
      </w:pPr>
      <w:r>
        <w:rPr>
          <w:rFonts w:ascii="Times New Roman" w:hAnsi="Times New Roman"/>
        </w:rPr>
        <w:t>Consideration of Band-Order Relaxation</w:t>
      </w:r>
    </w:p>
    <w:p>
      <w:pPr>
        <w:spacing w:after="240"/>
      </w:pPr>
      <w:r>
        <w:t>A final consideration for Parties is whether the balance points above should preserve strictly decreasing (monotonic) order in the amounts allocated by IUSAF band or whether relaxation is permitted in order to adequately recognise the stewardship responsibilities of some Parties. Under Option D, the Gini-minimum balance point (TSAC = 2.5%) preserves band order with a slim gap of $0.29M (relative margin of 5.4% of the Band 5 mean). If Parties wish to go beyond this towards greater terrestrial stewardship recognition, they may accept band-order relaxation, in which case settings up to TSAC = 3.5% (the former "Bounded" point) remain within the range where IUSAF is still the dominant component for most Parties. However, such settings would mean that Parties in a higher band (Band 6) could receive allocations higher than Parties in a lower band (Band 5), breaching the strictly decreasing order of allocations.</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