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32"/>
        </w:rPr>
        <w:t>V4 Sensitivity Reports: Executive Summary</w:t>
      </w:r>
    </w:p>
    <w:p>
      <w:pPr>
        <w:pStyle w:val="Heading2"/>
      </w:pPr>
      <w:r>
        <w:rPr>
          <w:rFonts w:ascii="Times New Roman" w:hAnsi="Times New Roman"/>
        </w:rPr>
        <w:t>What the Model Does Well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Scale invariance confirmed</w:t>
      </w:r>
      <w:r>
        <w:rPr>
          <w:rFonts w:ascii="Times New Roman" w:hAnsi="Times New Roman"/>
          <w:sz w:val="20"/>
        </w:rPr>
        <w:t>: The allocation formula produces identical share distributions regardless of fund size. All six pairwise comparisons across $50m–$1bn yield exactly zero share difference. The relative distribution among Parties is fully predictable and independent of the Cali Fund's total resources.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Mechanical validity holds across the entire parameter space</w:t>
      </w:r>
      <w:r>
        <w:rPr>
          <w:rFonts w:ascii="Times New Roman" w:hAnsi="Times New Roman"/>
          <w:sz w:val="20"/>
        </w:rPr>
        <w:t>: All 176 coarse-grid and 441 fine-grid scenarios pass conservation of shares, conservation of money, non-negativity, component consistency, and IPLC split checks. The model is numerically robust.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Stewardship overlay is well-behaved in the moderate zone</w:t>
      </w:r>
      <w:r>
        <w:rPr>
          <w:rFonts w:ascii="Times New Roman" w:hAnsi="Times New Roman"/>
          <w:sz w:val="20"/>
        </w:rPr>
        <w:t>: Within the parameter region around the gini-optimal point (β=2.5%, γ=3%), the allocation remains a moderate overlay on IUSAF (Spearman ρ ≈ 0.85–0.95). Small parameter adjustments in this zone produce bounded, predictable changes — the model is not fragile near its default settings.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Low-Gini zone is identifiable and compact</w:t>
      </w:r>
      <w:r>
        <w:rPr>
          <w:rFonts w:ascii="Times New Roman" w:hAnsi="Times New Roman"/>
          <w:sz w:val="20"/>
        </w:rPr>
        <w:t>: The distributionally optimal region (Gini &lt; 0.08) occupies a clear curved band in parameter space: β ≈ 2%–8% at low SOSAC levels. This compact zone gives negotiators a well-defined region for parameter selection.</w:t>
      </w:r>
    </w:p>
    <w:p>
      <w:pPr>
        <w:pStyle w:val="Heading2"/>
      </w:pPr>
      <w:r>
        <w:rPr>
          <w:rFonts w:ascii="Times New Roman" w:hAnsi="Times New Roman"/>
        </w:rPr>
        <w:t>Findings That Need Attention</w:t>
      </w:r>
    </w:p>
    <w:p>
      <w:pPr>
        <w:jc w:val="center"/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b/>
          <w:sz w:val="20"/>
        </w:rPr>
        <w:t>TSAC exceeds IUSAF for China at all β ≥ 2%</w:t>
      </w:r>
      <w:r>
        <w:rPr>
          <w:rFonts w:ascii="Times New Roman" w:hAnsi="Times New Roman"/>
          <w:sz w:val="20"/>
        </w:rPr>
        <w:t>: The TSAC/IUSAF balance threshold is first crossed at β=2%, regardless of γ. At the gini-optimal point (β=2.5%), China's TSAC component already exceeds its IUSAF component. By β=15%, the ratio reaches 10.6×. This is a structural feature of combining large land area with a low IUSAF base, and may warrant policy consideration of a separate TSAC coefficient for Band 6.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Most of the parameter space produces dominant overlay</w:t>
      </w:r>
      <w:r>
        <w:rPr>
          <w:rFonts w:ascii="Times New Roman" w:hAnsi="Times New Roman"/>
          <w:sz w:val="20"/>
        </w:rPr>
        <w:t>: 151 of 176 coarse-grid scenarios show dominant overlay (Spearman ρ &lt; 0.85 vs pure IUSAF). The moderate-overlay zone is narrow, confined to low TSAC values (β ≤ 5% when γ=3%). Parameter choices outside this narrow zone mean stewardship components dominate the equity base.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Spearman rank collapses rapidly beyond the moderate zone</w:t>
      </w:r>
      <w:r>
        <w:rPr>
          <w:rFonts w:ascii="Times New Roman" w:hAnsi="Times New Roman"/>
          <w:sz w:val="20"/>
        </w:rPr>
        <w:t>: Once TSAC exceeds ~5% at γ=3%, Spearman ρ drops below 0.85, and by β=15% reaches 0.39 — meaning the allocation rank ordering bears little resemblance to the IUSAF equity foundation. The transition from moderate to dominant overlay is steep, not gradual.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Gini-minimum on the two-way surface lies at β=4.5%, γ=0.0%</w:t>
      </w:r>
      <w:r>
        <w:rPr>
          <w:rFonts w:ascii="Times New Roman" w:hAnsi="Times New Roman"/>
          <w:sz w:val="20"/>
        </w:rPr>
        <w:t>: The global Gini minimum (0.0723) occurs with SOSAC set to zero — contradicting the intuition that both stewardship components reduce inequality. Adding SOSAC increases Gini slightly because it redistributes toward a subset of Parties (SIDS) rather than across all. The v3 cross-section at γ=3% identified a local minimum at β=5%; the full grid shows this is not the global optimum.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SIDS and LDC allocations move in opposite directions</w:t>
      </w:r>
      <w:r>
        <w:rPr>
          <w:rFonts w:ascii="Times New Roman" w:hAnsi="Times New Roman"/>
          <w:sz w:val="20"/>
        </w:rPr>
        <w:t>: Increasing SOSAC strongly benefits SIDS (totals rise from $261m to $374m) but reduces LDC totals slightly ($340m to $312m). The two groups are not perfectly overlapping, and parameter choices face a trade-off between them.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Majority of Parties below the equality line even at optimal settings</w:t>
      </w:r>
      <w:r>
        <w:rPr>
          <w:rFonts w:ascii="Times New Roman" w:hAnsi="Times New Roman"/>
          <w:sz w:val="20"/>
        </w:rPr>
        <w:t>: At the gini-optimal point, 54% of Parties receive less than the equal-share benchmark. This ranges from 35% at optimal TSAC/SOSAC to 68% at high stewardship weights.</w:t>
      </w:r>
    </w:p>
    <w:p>
      <w:pPr>
        <w:pStyle w:val="Heading2"/>
      </w:pPr>
      <w:r>
        <w:rPr>
          <w:rFonts w:ascii="Times New Roman" w:hAnsi="Times New Roman"/>
        </w:rPr>
        <w:t>Positive Structural Findings</w:t>
      </w:r>
    </w:p>
    <w:p>
      <w:pPr>
        <w:pStyle w:val="ListBullet"/>
      </w:pPr>
      <w:r>
        <w:rPr>
          <w:rFonts w:ascii="Times New Roman" w:hAnsi="Times New Roman"/>
          <w:sz w:val="20"/>
        </w:rPr>
        <w:t>The formula's separation of share computation from monetary scaling is clean and verified. No edge-case failures or paradoxical outcomes were found across 617 scenario evaluations.</w:t>
      </w:r>
    </w:p>
    <w:p>
      <w:pPr>
        <w:pStyle w:val="ListBullet"/>
      </w:pPr>
      <w:r>
        <w:rPr>
          <w:rFonts w:ascii="Times New Roman" w:hAnsi="Times New Roman"/>
          <w:sz w:val="20"/>
        </w:rPr>
        <w:t>The three identified regions of the parameter space (IUSAF-dominated, balanced-stewardship, stewardship-dominated) provide a clear mapping for policy reasoning. The boundaries are well-defined and reproducible.</w:t>
      </w:r>
    </w:p>
    <w:p>
      <w:pPr>
        <w:pStyle w:val="ListBullet"/>
      </w:pPr>
      <w:r>
        <w:rPr>
          <w:rFonts w:ascii="Times New Roman" w:hAnsi="Times New Roman"/>
          <w:sz w:val="20"/>
        </w:rPr>
        <w:t>The one-way sweep findings from v3 are confirmed and now contextualised within the full two-way surface. The v3 gini-optimal point (β=5%, γ=3%) is correctly identified as a local minimum along its cross-section.</w:t>
      </w:r>
    </w:p>
    <w:p>
      <w:pPr>
        <w:pStyle w:val="Heading2"/>
      </w:pPr>
      <w:r>
        <w:rPr>
          <w:rFonts w:ascii="Times New Roman" w:hAnsi="Times New Roman"/>
        </w:rPr>
        <w:t>Report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Report</w:t>
            </w:r>
          </w:p>
        </w:tc>
        <w:tc>
          <w:tcPr>
            <w:tcW w:type="dxa" w:w="4703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Executive Summary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This document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Two-way Grid Analysis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TSAC × SOSAC heatmap interpretation with contour analysis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Scale Invariance Test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Empirical confirmation of fund-size independence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Integrity Checks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Mechanical validity diagnostics for grid scenarios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Technical Annex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Formula specification, parameter ranges, methodology</w:t>
            </w:r>
          </w:p>
        </w:tc>
      </w:tr>
    </w:tbl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The two-way grid and scale-invariance test address recommendations 3.6 (MEDIUM) and 3.7 (LOW) from the independent peer review of the model.</w:t>
      </w:r>
      <w:r>
        <w:rPr>
          <w:rFonts w:ascii="Times New Roman" w:hAnsi="Times New Roman"/>
          <w:sz w:val="20"/>
        </w:rPr>
      </w:r>
    </w:p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Generated by scripts/generate_v4_md_reports.py</w:t>
      </w:r>
      <w:r>
        <w:rPr>
          <w:rFonts w:ascii="Times New Roman" w:hAnsi="Times New Roman"/>
          <w:sz w:val="20"/>
        </w:rPr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TSAC × SOSAC Two-way Grid Analysis</w:t>
      </w:r>
    </w:p>
    <w:p>
      <w:pPr>
        <w:pStyle w:val="Heading2"/>
      </w:pPr>
      <w:r>
        <w:rPr>
          <w:rFonts w:ascii="Times New Roman" w:hAnsi="Times New Roman"/>
        </w:rPr>
        <w:t>Context</w:t>
      </w:r>
    </w:p>
    <w:p>
      <w:pPr>
        <w:jc w:val="center"/>
      </w:pPr>
      <w:r>
        <w:rPr>
          <w:rFonts w:ascii="Times New Roman" w:hAnsi="Times New Roman"/>
          <w:sz w:val="20"/>
        </w:rPr>
        <w:t>One-way sweeps (v3) held one stewardship parameter fixed while varying the other; the two-way grid sweeps both simultaneously, revealing interaction effects that are otherwise invisible. This generalises the v3 sensitivity framework to the full TSAC × SOSAC parameter surface.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This analysis addresses peer review recommendation 3.6 (MEDIUM).</w:t>
      </w:r>
      <w:r>
        <w:rPr>
          <w:rFonts w:ascii="Times New Roman" w:hAnsi="Times New Roman"/>
          <w:sz w:val="20"/>
        </w:rPr>
      </w:r>
    </w:p>
    <w:p>
      <w:pPr>
        <w:pStyle w:val="Heading2"/>
      </w:pPr>
      <w:r>
        <w:rPr>
          <w:rFonts w:ascii="Times New Roman" w:hAnsi="Times New Roman"/>
        </w:rPr>
        <w:t>Grid Design</w:t>
      </w:r>
    </w:p>
    <w:p>
      <w:pPr>
        <w:jc w:val="center"/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b/>
          <w:sz w:val="20"/>
        </w:rPr>
        <w:t>Coarse grid</w:t>
      </w:r>
      <w:r>
        <w:rPr>
          <w:rFonts w:ascii="Times New Roman" w:hAnsi="Times New Roman"/>
          <w:sz w:val="20"/>
        </w:rPr>
        <w:t>: TSAC β = 0–15% (1% steps, 16 values) × SOSAC γ = 0–10% (1% steps, 11 values) → 176 scenarios</w:t>
      </w:r>
    </w:p>
    <w:p>
      <w:pPr>
        <w:jc w:val="center"/>
      </w:pPr>
      <w:r>
        <w:rPr>
          <w:rFonts w:ascii="Times New Roman" w:hAnsi="Times New Roman"/>
          <w:sz w:val="20"/>
        </w:rPr>
        <w:t xml:space="preserve">- </w:t>
      </w:r>
      <w:r>
        <w:rPr>
          <w:rFonts w:ascii="Times New Roman" w:hAnsi="Times New Roman"/>
          <w:b/>
          <w:sz w:val="20"/>
        </w:rPr>
        <w:t>Fine grid</w:t>
      </w:r>
      <w:r>
        <w:rPr>
          <w:rFonts w:ascii="Times New Roman" w:hAnsi="Times New Roman"/>
          <w:sz w:val="20"/>
        </w:rPr>
        <w:t>: TSAC β = 0–10% (0.5% steps, 21 values) × SOSAC γ = 0–10% (0.5% steps, 21 values) → 441 scenarios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Baseline scenario</w:t>
      </w:r>
      <w:r>
        <w:rPr>
          <w:rFonts w:ascii="Times New Roman" w:hAnsi="Times New Roman"/>
          <w:sz w:val="20"/>
        </w:rPr>
        <w:t>: Gini-minimum point (β=2.5%, γ=3%), band inversion, high-income excluded, IPLC 50%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Comparator</w:t>
      </w:r>
      <w:r>
        <w:rPr>
          <w:rFonts w:ascii="Times New Roman" w:hAnsi="Times New Roman"/>
          <w:sz w:val="20"/>
        </w:rPr>
        <w:t>: Pure band-inversion IUSAF (β=0, γ=0) computed for each grid point</w:t>
      </w:r>
    </w:p>
    <w:p>
      <w:pPr>
        <w:pStyle w:val="Heading2"/>
      </w:pPr>
      <w:r>
        <w:rPr>
          <w:rFonts w:ascii="Times New Roman" w:hAnsi="Times New Roman"/>
        </w:rPr>
        <w:t>Gini Coefficient Contours</w:t>
      </w:r>
    </w:p>
    <w:p>
      <w:r>
        <w:rPr>
          <w:rFonts w:ascii="Times New Roman" w:hAnsi="Times New Roman"/>
          <w:sz w:val="20"/>
        </w:rPr>
        <w:t>The Gini coefficient ranges from 0.0723 to 0.1422 across the coarse grid.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Global minimum</w:t>
      </w:r>
      <w:r>
        <w:rPr>
          <w:rFonts w:ascii="Times New Roman" w:hAnsi="Times New Roman"/>
          <w:sz w:val="20"/>
        </w:rPr>
        <w:t xml:space="preserve"> (fine grid): β=4.5%, γ=0.0%, Gini=0.0723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Low-Gini zone</w:t>
      </w:r>
      <w:r>
        <w:rPr>
          <w:rFonts w:ascii="Times New Roman" w:hAnsi="Times New Roman"/>
          <w:sz w:val="20"/>
        </w:rPr>
        <w:t xml:space="preserve"> (Gini &lt; 0.08, fine grid): 56 scenarios occupy a curved band from</w:t>
      </w:r>
    </w:p>
    <w:p>
      <w:r>
        <w:rPr>
          <w:rFonts w:ascii="Times New Roman" w:hAnsi="Times New Roman"/>
          <w:sz w:val="20"/>
        </w:rPr>
        <w:t>β≈2.0% at γ=0% to β≈8.5% at γ≈2.0%.</w:t>
      </w:r>
    </w:p>
    <w:p>
      <w:r>
        <w:rPr>
          <w:rFonts w:ascii="Times New Roman" w:hAnsi="Times New Roman"/>
          <w:sz w:val="20"/>
        </w:rPr>
        <w:t>This ridge does not follow a simple additive path — adding SOSAC shifts the</w:t>
      </w:r>
    </w:p>
    <w:p>
      <w:r>
        <w:rPr>
          <w:rFonts w:ascii="Times New Roman" w:hAnsi="Times New Roman"/>
          <w:sz w:val="20"/>
        </w:rPr>
        <w:t>Gini-minimum TSAC level upward, confirming non-linear interaction.</w:t>
      </w:r>
    </w:p>
    <w:p>
      <w:r>
        <w:rPr>
          <w:rFonts w:ascii="Times New Roman" w:hAnsi="Times New Roman"/>
          <w:sz w:val="20"/>
        </w:rPr>
        <w:t>Gini distribution across coarse grid:</w:t>
      </w:r>
    </w:p>
    <w:p>
      <w:pPr>
        <w:pStyle w:val="ListBullet"/>
      </w:pPr>
      <w:r>
        <w:rPr>
          <w:rFonts w:ascii="Times New Roman" w:hAnsi="Times New Roman"/>
          <w:sz w:val="20"/>
        </w:rPr>
        <w:t>Gini &lt; 0.08: 16 scenarios</w:t>
      </w:r>
    </w:p>
    <w:p>
      <w:pPr>
        <w:pStyle w:val="ListBullet"/>
      </w:pPr>
      <w:r>
        <w:rPr>
          <w:rFonts w:ascii="Times New Roman" w:hAnsi="Times New Roman"/>
          <w:sz w:val="20"/>
        </w:rPr>
        <w:t>0.08 ≤ Gini &lt; 0.09: 28 scenarios</w:t>
      </w:r>
    </w:p>
    <w:p>
      <w:pPr>
        <w:pStyle w:val="ListBullet"/>
      </w:pPr>
      <w:r>
        <w:rPr>
          <w:rFonts w:ascii="Times New Roman" w:hAnsi="Times New Roman"/>
          <w:sz w:val="20"/>
        </w:rPr>
        <w:t>0.09 ≤ Gini &lt; 0.10: 34 scenarios</w:t>
      </w:r>
    </w:p>
    <w:p>
      <w:pPr>
        <w:pStyle w:val="ListBullet"/>
      </w:pPr>
      <w:r>
        <w:rPr>
          <w:rFonts w:ascii="Times New Roman" w:hAnsi="Times New Roman"/>
          <w:sz w:val="20"/>
        </w:rPr>
        <w:t>Gini ≥ 0.10: 98 scenarios</w:t>
      </w:r>
    </w:p>
    <w:p>
      <w:pPr>
        <w:pStyle w:val="Heading2"/>
      </w:pPr>
      <w:r>
        <w:rPr>
          <w:rFonts w:ascii="Times New Roman" w:hAnsi="Times New Roman"/>
        </w:rPr>
        <w:t>Spearman Rank Correlation Contours</w:t>
      </w:r>
    </w:p>
    <w:p>
      <w:r>
        <w:rPr>
          <w:rFonts w:ascii="Times New Roman" w:hAnsi="Times New Roman"/>
          <w:sz w:val="20"/>
        </w:rPr>
        <w:t>Spearman ρ vs pure IUSAF ranges from 0.39 to 1.00.</w:t>
      </w:r>
    </w:p>
    <w:p>
      <w:r>
        <w:rPr>
          <w:rFonts w:ascii="Times New Roman" w:hAnsi="Times New Roman"/>
          <w:sz w:val="20"/>
        </w:rPr>
        <w:t>Overlay classification (coarse grid):</w:t>
      </w:r>
    </w:p>
    <w:p>
      <w:pPr>
        <w:pStyle w:val="ListBullet"/>
      </w:pPr>
      <w:r>
        <w:rPr>
          <w:rFonts w:ascii="Times New Roman" w:hAnsi="Times New Roman"/>
          <w:sz w:val="20"/>
        </w:rPr>
        <w:t>Minimal overlay (ρ ≥ 0.95): 9 scenarios</w:t>
      </w:r>
    </w:p>
    <w:p>
      <w:pPr>
        <w:pStyle w:val="ListBullet"/>
      </w:pPr>
      <w:r>
        <w:rPr>
          <w:rFonts w:ascii="Times New Roman" w:hAnsi="Times New Roman"/>
          <w:sz w:val="20"/>
        </w:rPr>
        <w:t>Moderate overlay (0.85 ≤ ρ &lt; 0.95): 35 scenarios</w:t>
      </w:r>
    </w:p>
    <w:p>
      <w:pPr>
        <w:pStyle w:val="ListBullet"/>
      </w:pPr>
      <w:r>
        <w:rPr>
          <w:rFonts w:ascii="Times New Roman" w:hAnsi="Times New Roman"/>
          <w:sz w:val="20"/>
        </w:rPr>
        <w:t>Dominant overlay (ρ &lt; 0.85): 132 scenarios</w:t>
      </w:r>
    </w:p>
    <w:p>
      <w:r>
        <w:rPr>
          <w:rFonts w:ascii="Times New Roman" w:hAnsi="Times New Roman"/>
          <w:sz w:val="20"/>
        </w:rPr>
        <w:t>The gini-minimum point (β=2.5%, γ=3%) falls in the moderate overlay zone with</w:t>
      </w:r>
    </w:p>
    <w:p>
      <w:r>
        <w:rPr>
          <w:rFonts w:ascii="Times New Roman" w:hAnsi="Times New Roman"/>
          <w:sz w:val="20"/>
        </w:rPr>
        <w:t>Spearman ρ=0.85 — consistent with the v3 one-way sweep findings.</w:t>
      </w:r>
    </w:p>
    <w:p>
      <w:pPr>
        <w:pStyle w:val="Heading2"/>
      </w:pPr>
      <w:r>
        <w:rPr>
          <w:rFonts w:ascii="Times New Roman" w:hAnsi="Times New Roman"/>
        </w:rPr>
        <w:t>TSAC/IUSAF Balance Threshold</w:t>
      </w:r>
    </w:p>
    <w:p>
      <w:r>
        <w:rPr>
          <w:rFonts w:ascii="Times New Roman" w:hAnsi="Times New Roman"/>
          <w:sz w:val="20"/>
        </w:rPr>
        <w:t>The TSAC component first exceeds the IUSAF component for any Party at</w:t>
      </w:r>
    </w:p>
    <w:p>
      <w:r>
        <w:rPr>
          <w:rFonts w:ascii="Times New Roman" w:hAnsi="Times New Roman"/>
          <w:sz w:val="20"/>
        </w:rPr>
        <w:t>β=2%, γ=0%.</w:t>
      </w:r>
    </w:p>
    <w:p>
      <w:r>
        <w:rPr>
          <w:rFonts w:ascii="Times New Roman" w:hAnsi="Times New Roman"/>
          <w:sz w:val="20"/>
        </w:rPr>
        <w:t>Across the coarse grid, 154/176 scenarios</w:t>
      </w:r>
    </w:p>
    <w:p>
      <w:r>
        <w:rPr>
          <w:rFonts w:ascii="Times New Roman" w:hAnsi="Times New Roman"/>
          <w:sz w:val="20"/>
        </w:rPr>
        <w:t>exceed this balance — the binding Party is China (Band 6, largest land area).</w:t>
      </w:r>
    </w:p>
    <w:p>
      <w:pPr>
        <w:jc w:val="center"/>
      </w:pPr>
      <w:r>
        <w:rPr>
          <w:rFonts w:ascii="Times New Roman" w:hAnsi="Times New Roman"/>
          <w:sz w:val="20"/>
        </w:rPr>
        <w:t>Maximum TSAC/IUSAF ratio: 10.6× at β=15%</w:t>
      </w:r>
    </w:p>
    <w:p>
      <w:r>
        <w:rPr>
          <w:rFonts w:ascii="Times New Roman" w:hAnsi="Times New Roman"/>
          <w:sz w:val="20"/>
        </w:rPr>
        <w:t>, γ=10%.</w:t>
      </w:r>
    </w:p>
    <w:p>
      <w:pPr>
        <w:pStyle w:val="Heading2"/>
      </w:pPr>
      <w:r>
        <w:rPr>
          <w:rFonts w:ascii="Times New Roman" w:hAnsi="Times New Roman"/>
        </w:rPr>
        <w:t>Cross-section: SOSAC Fixed at 3%</w:t>
      </w:r>
    </w:p>
    <w:p>
      <w:r>
        <w:rPr>
          <w:rFonts w:ascii="Times New Roman" w:hAnsi="Times New Roman"/>
          <w:sz w:val="20"/>
        </w:rPr>
        <w:t>This is the one-way TSAC sweep from v3 (γ=3% held constant), now embedded in the</w:t>
      </w:r>
    </w:p>
    <w:p>
      <w:r>
        <w:rPr>
          <w:rFonts w:ascii="Times New Roman" w:hAnsi="Times New Roman"/>
          <w:sz w:val="20"/>
        </w:rPr>
        <w:t>two-way grid. The Gini-minimum is at β=5% (Gini=0.0829), matching v3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β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Gini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Spearman ρ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SIDS total ($m)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LDC total ($m)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0.1011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0.9771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325.5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335.1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0.0958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0.9521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322.6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334.3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0.0909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0.9477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319.7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333.5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0.0866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0.9290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316.8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332.7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0.0839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0.8977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313.9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331.9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0.0829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0.8520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331.1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0.0832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0.8083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308.1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330.3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0.0841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0.7864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305.2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329.5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0.0856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0.7429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328.7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9%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0.0877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0.7127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299.4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327.9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0.0902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0.6662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296.5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327.1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11%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0.0932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0.6196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293.6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326.3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12%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0.0968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0.5752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290.7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325.5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13%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0.1008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0.5377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287.8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324.7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14%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0.1050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0.4990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284.9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323.9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0.1095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0.4726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282.0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323.1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Cross-section: TSAC Fixed at 2.5%</w:t>
      </w:r>
    </w:p>
    <w:p>
      <w:r>
        <w:rPr>
          <w:rFonts w:ascii="Times New Roman" w:hAnsi="Times New Roman"/>
          <w:sz w:val="20"/>
        </w:rPr>
        <w:t>This is the one-way SOSAC sweep from v3 (β=2.5% held constant), from the fine grid.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γ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Gini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Spearman ρ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SIDS total ($m)</w:t>
            </w:r>
          </w:p>
        </w:tc>
        <w:tc>
          <w:tcPr>
            <w:tcW w:type="dxa" w:w="188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LDC total ($m)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0.0763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0.9446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297.4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337.9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0.5%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0.0779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0.9451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300.9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337.1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0.0798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0.9450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304.3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336.3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0.0819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0.9449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307.8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335.5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0.0841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0.9449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311.3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334.7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0.0863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0.9448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314.8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333.9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0.0886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0.9448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318.3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333.1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0.0909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0.9422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321.7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332.3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0.0933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0.9355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325.2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331.5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0.0959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0.9005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328.7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330.7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0.0987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0.8915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332.2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329.9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0.1016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0.8868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335.6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329.1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0.1045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0.8833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339.1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328.3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0.1075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0.8825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342.6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327.5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7.0%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0.1104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0.8782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346.1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326.7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0.1135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0.8640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349.5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325.9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0.1166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0.8484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353.0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325.0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0.1198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0.8413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356.5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324.2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9%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0.1230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0.8395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360.0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323.4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9.5%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0.1262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0.8388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363.5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322.6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0.1294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0.8381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366.9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321.8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Distributional Implications</w:t>
      </w:r>
    </w:p>
    <w:p>
      <w:r>
        <w:rPr>
          <w:rFonts w:ascii="Times New Roman" w:hAnsi="Times New Roman"/>
          <w:sz w:val="20"/>
        </w:rPr>
        <w:t>SIDS totals range from $261.2m to $374.2m across the coarse grid.</w:t>
      </w:r>
    </w:p>
    <w:p>
      <w:r>
        <w:rPr>
          <w:rFonts w:ascii="Times New Roman" w:hAnsi="Times New Roman"/>
          <w:sz w:val="20"/>
        </w:rPr>
        <w:t>LDC totals range from $311.9m to $339.9m.</w:t>
      </w:r>
    </w:p>
    <w:p>
      <w:r>
        <w:rPr>
          <w:rFonts w:ascii="Times New Roman" w:hAnsi="Times New Roman"/>
          <w:sz w:val="20"/>
        </w:rPr>
        <w:t>Percentage of Parties below equality line: 35.2% to 67.6%.</w:t>
      </w:r>
    </w:p>
    <w:p>
      <w:r>
        <w:rPr>
          <w:rFonts w:ascii="Times New Roman" w:hAnsi="Times New Roman"/>
          <w:sz w:val="20"/>
        </w:rPr>
        <w:t>Increasing SOSAC directly benefits SIDS countries (higher SIDS total).</w:t>
      </w:r>
    </w:p>
    <w:p>
      <w:r>
        <w:rPr>
          <w:rFonts w:ascii="Times New Roman" w:hAnsi="Times New Roman"/>
          <w:sz w:val="20"/>
        </w:rPr>
        <w:t>Increasing TSAC primarily benefits large-land-area countries (China, Brazil, etc.).</w:t>
      </w:r>
    </w:p>
    <w:p>
      <w:r>
        <w:rPr>
          <w:rFonts w:ascii="Times New Roman" w:hAnsi="Times New Roman"/>
          <w:sz w:val="20"/>
        </w:rPr>
        <w:t>The two effects compound non-linearly: high TSAC + high SOSAC reallocates from</w:t>
      </w:r>
    </w:p>
    <w:p>
      <w:r>
        <w:rPr>
          <w:rFonts w:ascii="Times New Roman" w:hAnsi="Times New Roman"/>
          <w:sz w:val="20"/>
        </w:rPr>
        <w:t>IUSAF-driven recipients (typically small, low-income countries) toward both</w:t>
      </w:r>
    </w:p>
    <w:p>
      <w:r>
        <w:rPr>
          <w:rFonts w:ascii="Times New Roman" w:hAnsi="Times New Roman"/>
          <w:sz w:val="20"/>
        </w:rPr>
        <w:t>large-land-area and SIDS countries simultaneously.</w:t>
      </w:r>
    </w:p>
    <w:p>
      <w:pPr>
        <w:pStyle w:val="Heading2"/>
      </w:pPr>
      <w:r>
        <w:rPr>
          <w:rFonts w:ascii="Times New Roman" w:hAnsi="Times New Roman"/>
        </w:rPr>
        <w:t>Interaction Effects</w:t>
      </w:r>
    </w:p>
    <w:p>
      <w:pPr>
        <w:jc w:val="center"/>
      </w:pPr>
      <w:r>
        <w:rPr>
          <w:rFonts w:ascii="Times New Roman" w:hAnsi="Times New Roman"/>
          <w:sz w:val="20"/>
        </w:rPr>
        <w:t>The heatmaps reveal three distinct regions in the TSAC × SOSAC parameter space:</w:t>
      </w:r>
    </w:p>
    <w:p>
      <w:pPr>
        <w:pStyle w:val="ListNumber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IUSAF-dominated region</w:t>
      </w:r>
      <w:r>
        <w:rPr>
          <w:rFonts w:ascii="Times New Roman" w:hAnsi="Times New Roman"/>
          <w:sz w:val="20"/>
        </w:rPr>
        <w:t xml:space="preserve"> (low β, low γ): Shares closely follow pure IUSAF.</w:t>
      </w:r>
    </w:p>
    <w:p>
      <w:r>
        <w:rPr>
          <w:rFonts w:ascii="Times New Roman" w:hAnsi="Times New Roman"/>
          <w:sz w:val="20"/>
        </w:rPr>
        <w:t>Spearman ρ ≥ 0.95. Gini ~0.08–0.09. This is the minimal-overlay zone.</w:t>
      </w:r>
    </w:p>
    <w:p>
      <w:pPr>
        <w:pStyle w:val="ListNumber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Balanced-stewardship region</w:t>
      </w:r>
      <w:r>
        <w:rPr>
          <w:rFonts w:ascii="Times New Roman" w:hAnsi="Times New Roman"/>
          <w:sz w:val="20"/>
        </w:rPr>
        <w:t xml:space="preserve"> (moderate β and γ): The Gini-minimum ridge runs</w:t>
      </w:r>
    </w:p>
    <w:p>
      <w:r>
        <w:rPr>
          <w:rFonts w:ascii="Times New Roman" w:hAnsi="Times New Roman"/>
          <w:sz w:val="20"/>
        </w:rPr>
        <w:t>through this zone. Adding SOSAC shifts the Gini-optimal TSAC level upward.</w:t>
      </w:r>
    </w:p>
    <w:p>
      <w:r>
        <w:rPr>
          <w:rFonts w:ascii="Times New Roman" w:hAnsi="Times New Roman"/>
          <w:sz w:val="20"/>
        </w:rPr>
        <w:t>Spearman ρ 0.85–0.95. The v3 gini-optimal point (β=2.5%, γ=3%) sits here.</w:t>
      </w:r>
    </w:p>
    <w:p>
      <w:pPr>
        <w:pStyle w:val="ListNumber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Stewardship-dominated region</w:t>
      </w:r>
      <w:r>
        <w:rPr>
          <w:rFonts w:ascii="Times New Roman" w:hAnsi="Times New Roman"/>
          <w:sz w:val="20"/>
        </w:rPr>
        <w:t xml:space="preserve"> (high β or high γ): Large TSAC or SOSAC weights</w:t>
      </w:r>
    </w:p>
    <w:p>
      <w:r>
        <w:rPr>
          <w:rFonts w:ascii="Times New Roman" w:hAnsi="Times New Roman"/>
          <w:sz w:val="20"/>
        </w:rPr>
        <w:t>cause dominant overlay on IUSAF (Spearman ρ &lt; 0.85). Distributional effects are</w:t>
      </w:r>
    </w:p>
    <w:p>
      <w:r>
        <w:rPr>
          <w:rFonts w:ascii="Times New Roman" w:hAnsi="Times New Roman"/>
          <w:sz w:val="20"/>
        </w:rPr>
        <w:t>driven primarily by the stewardship components rather than the equity base.</w:t>
      </w:r>
    </w:p>
    <w:p>
      <w:pPr>
        <w:pStyle w:val="Heading2"/>
      </w:pPr>
      <w:r>
        <w:rPr>
          <w:rFonts w:ascii="Times New Roman" w:hAnsi="Times New Roman"/>
        </w:rPr>
        <w:t>Mechanical Validity</w:t>
      </w:r>
    </w:p>
    <w:p>
      <w:r>
        <w:rPr>
          <w:rFonts w:ascii="Times New Roman" w:hAnsi="Times New Roman"/>
          <w:sz w:val="20"/>
        </w:rPr>
        <w:t>All 176 coarse-grid and 441 fine-grid scenarios satisfy conservation of shares</w:t>
      </w:r>
    </w:p>
    <w:p>
      <w:r>
        <w:rPr>
          <w:rFonts w:ascii="Times New Roman" w:hAnsi="Times New Roman"/>
          <w:sz w:val="20"/>
        </w:rPr>
        <w:t>(sum = 1.0) and non-negativity. See integrity_checks.csv for detailed diagnostics.</w:t>
      </w:r>
    </w:p>
    <w:p>
      <w:pPr>
        <w:pStyle w:val="Heading2"/>
      </w:pPr>
      <w:r>
        <w:rPr>
          <w:rFonts w:ascii="Times New Roman" w:hAnsi="Times New Roman"/>
        </w:rPr>
        <w:t>Relationship to V3 One-way Sweeps</w:t>
      </w:r>
    </w:p>
    <w:p>
      <w:r>
        <w:rPr>
          <w:rFonts w:ascii="Times New Roman" w:hAnsi="Times New Roman"/>
          <w:sz w:val="20"/>
        </w:rPr>
        <w:t>The v3 TSAC sweep held γ=3% constant; the SOSAC sweep held β=2.5% constant.</w:t>
      </w:r>
    </w:p>
    <w:p>
      <w:r>
        <w:rPr>
          <w:rFonts w:ascii="Times New Roman" w:hAnsi="Times New Roman"/>
          <w:sz w:val="20"/>
        </w:rPr>
        <w:t>These are single cross-sections through the two-way grid. The complete grid shows</w:t>
      </w:r>
    </w:p>
    <w:p>
      <w:r>
        <w:rPr>
          <w:rFonts w:ascii="Times New Roman" w:hAnsi="Times New Roman"/>
          <w:sz w:val="20"/>
        </w:rPr>
        <w:t>that the gini-minimum point identified in v3 (β=5%, γ=3%) is a local minimum</w:t>
      </w:r>
    </w:p>
    <w:p>
      <w:r>
        <w:rPr>
          <w:rFonts w:ascii="Times New Roman" w:hAnsi="Times New Roman"/>
          <w:sz w:val="20"/>
        </w:rPr>
        <w:t>along the γ=3% cross-section, but the global minimum on the two-way surface is at</w:t>
      </w:r>
    </w:p>
    <w:p>
      <w:r>
        <w:rPr>
          <w:rFonts w:ascii="Times New Roman" w:hAnsi="Times New Roman"/>
          <w:sz w:val="20"/>
        </w:rPr>
        <w:t>β=4.5%, γ=0.0% (Gini=0.0723),</w:t>
      </w:r>
    </w:p>
    <w:p>
      <w:r>
        <w:rPr>
          <w:rFonts w:ascii="Times New Roman" w:hAnsi="Times New Roman"/>
          <w:sz w:val="20"/>
        </w:rPr>
        <w:t>which lies on the γ=0% edge where SOSAC is absent.</w:t>
      </w:r>
    </w:p>
    <w:p>
      <w:r>
        <w:rPr>
          <w:rFonts w:ascii="Times New Roman" w:hAnsi="Times New Roman"/>
          <w:sz w:val="20"/>
        </w:rPr>
        <w:t>This finding does not undermine the gini-optimal point as a policy choice —</w:t>
      </w:r>
    </w:p>
    <w:p>
      <w:r>
        <w:rPr>
          <w:rFonts w:ascii="Times New Roman" w:hAnsi="Times New Roman"/>
          <w:sz w:val="20"/>
        </w:rPr>
        <w:t>it reflects the fact that adding SOSAC (which benefits SIDS countries) increases</w:t>
      </w:r>
    </w:p>
    <w:p>
      <w:r>
        <w:rPr>
          <w:rFonts w:ascii="Times New Roman" w:hAnsi="Times New Roman"/>
          <w:sz w:val="20"/>
        </w:rPr>
        <w:t>Gini slightly, and the policy rationale for SOSAC is independent of Gini minimisation.</w:t>
      </w:r>
    </w:p>
    <w:p>
      <w:pPr>
        <w:pStyle w:val="Heading2"/>
      </w:pPr>
      <w:r>
        <w:rPr>
          <w:rFonts w:ascii="Times New Roman" w:hAnsi="Times New Roman"/>
        </w:rPr>
        <w:t>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4703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tsac_sosac_grid_coarse.csv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176-row metrics table (1% steps)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tsac_sosac_grid_fine.csv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441-row metrics table (0.5% steps)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tsac_sosac_heatmap_gini_coarse.png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Gini coefficient heatmap (coarse)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tsac_sosac_heatmap_spearman_coarse.png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Spearman ρ heatmap (coarse)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tsac_sosac_heatmap_gini_fine.png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Gini coefficient heatmap (fine)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tsac_sosac_heatmap_spearman_fine.png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Spearman ρ heatmap (fine)</w:t>
            </w:r>
          </w:p>
        </w:tc>
      </w:tr>
    </w:tbl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Generated by scripts/generate_v4_md_reports.py</w:t>
      </w:r>
      <w:r>
        <w:rPr>
          <w:rFonts w:ascii="Times New Roman" w:hAnsi="Times New Roman"/>
          <w:sz w:val="20"/>
        </w:rPr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Scale Invariance of Shares</w:t>
      </w:r>
    </w:p>
    <w:p>
      <w:pPr>
        <w:pStyle w:val="Heading2"/>
      </w:pPr>
      <w:r>
        <w:rPr>
          <w:rFonts w:ascii="Times New Roman" w:hAnsi="Times New Roman"/>
        </w:rPr>
        <w:t>Context</w:t>
      </w:r>
    </w:p>
    <w:p>
      <w:r>
        <w:rPr>
          <w:rFonts w:ascii="Times New Roman" w:hAnsi="Times New Roman"/>
          <w:sz w:val="20"/>
        </w:rPr>
        <w:t>The allocation formula computes shares from normalised weights that are</w:t>
      </w:r>
    </w:p>
    <w:p>
      <w:r>
        <w:rPr>
          <w:rFonts w:ascii="Times New Roman" w:hAnsi="Times New Roman"/>
          <w:sz w:val="20"/>
        </w:rPr>
        <w:t>independent of fund size; this structural property is empirically verified here.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This test addresses peer review recommendation 3.7 (LOW).</w:t>
      </w:r>
      <w:r>
        <w:rPr>
          <w:rFonts w:ascii="Times New Roman" w:hAnsi="Times New Roman"/>
          <w:sz w:val="20"/>
        </w:rPr>
      </w:r>
    </w:p>
    <w:p>
      <w:pPr>
        <w:pStyle w:val="Heading2"/>
      </w:pPr>
      <w:r>
        <w:rPr>
          <w:rFonts w:ascii="Times New Roman" w:hAnsi="Times New Roman"/>
        </w:rPr>
        <w:t>Test Design</w:t>
      </w:r>
    </w:p>
    <w:p>
      <w:r>
        <w:rPr>
          <w:rFonts w:ascii="Times New Roman" w:hAnsi="Times New Roman"/>
          <w:sz w:val="20"/>
        </w:rPr>
        <w:t>The gini-minimum scenario (β=2.5%, γ=3%, band inversion, high-income excluded,</w:t>
      </w:r>
    </w:p>
    <w:p>
      <w:r>
        <w:rPr>
          <w:rFonts w:ascii="Times New Roman" w:hAnsi="Times New Roman"/>
          <w:sz w:val="20"/>
        </w:rPr>
        <w:t>IPLC 50%) is evaluated at four fund sizes: $50m, $200m, $500m, and $1bn.</w:t>
      </w:r>
    </w:p>
    <w:p>
      <w:r>
        <w:rPr>
          <w:rFonts w:ascii="Times New Roman" w:hAnsi="Times New Roman"/>
          <w:sz w:val="20"/>
        </w:rPr>
        <w:t>For each of the six pairwise combinations, the maximum absolute difference</w:t>
      </w:r>
    </w:p>
    <w:p>
      <w:r>
        <w:rPr>
          <w:rFonts w:ascii="Times New Roman" w:hAnsi="Times New Roman"/>
          <w:sz w:val="20"/>
        </w:rPr>
        <w:t>in `final_share` across all 142 eligible Parties is computed. Scale invariance</w:t>
      </w:r>
    </w:p>
    <w:p>
      <w:pPr>
        <w:jc w:val="center"/>
      </w:pPr>
      <w:r>
        <w:rPr>
          <w:rFonts w:ascii="Times New Roman" w:hAnsi="Times New Roman"/>
          <w:sz w:val="20"/>
        </w:rPr>
        <w:t>holds if the maximum difference is below 1×10⁻¹².</w:t>
      </w:r>
    </w:p>
    <w:p>
      <w:pPr>
        <w:pStyle w:val="Heading2"/>
      </w:pPr>
      <w:r>
        <w:rPr>
          <w:rFonts w:ascii="Times New Roman" w:hAnsi="Times New Roman"/>
        </w:rP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Pair</w:t>
            </w:r>
          </w:p>
        </w:tc>
        <w:tc>
          <w:tcPr>
            <w:tcW w:type="dxa" w:w="235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Max abs diff</w:t>
            </w:r>
          </w:p>
        </w:tc>
        <w:tc>
          <w:tcPr>
            <w:tcW w:type="dxa" w:w="235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Mean abs diff</w:t>
            </w:r>
          </w:p>
        </w:tc>
        <w:tc>
          <w:tcPr>
            <w:tcW w:type="dxa" w:w="235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Scale invariant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$50m vs $200m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$50m vs $500m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$50m vs $1000m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$200m vs $500m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$200m vs $1000m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$500m vs $1000m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0.00e+00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</w:tbl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Overall verdict: PASSED</w:t>
      </w:r>
      <w:r>
        <w:rPr>
          <w:rFonts w:ascii="Times New Roman" w:hAnsi="Times New Roman"/>
          <w:sz w:val="20"/>
        </w:rPr>
      </w:r>
    </w:p>
    <w:p>
      <w:pPr>
        <w:pStyle w:val="Heading2"/>
      </w:pPr>
      <w:r>
        <w:rPr>
          <w:rFonts w:ascii="Times New Roman" w:hAnsi="Times New Roman"/>
        </w:rPr>
        <w:t>Interpretation</w:t>
      </w:r>
    </w:p>
    <w:p>
      <w:r>
        <w:rPr>
          <w:rFonts w:ascii="Times New Roman" w:hAnsi="Times New Roman"/>
          <w:sz w:val="20"/>
        </w:rPr>
        <w:t>The allocation formula computes shares from normalised weights (IUSAF, TSAC,</w:t>
      </w:r>
    </w:p>
    <w:p>
      <w:r>
        <w:rPr>
          <w:rFonts w:ascii="Times New Roman" w:hAnsi="Times New Roman"/>
          <w:sz w:val="20"/>
        </w:rPr>
        <w:t>SOSAC) that are independent of fund size. Specifically:</w:t>
      </w:r>
    </w:p>
    <w:p>
      <w:pPr>
        <w:pStyle w:val="ListBullet"/>
      </w:pPr>
      <w:r>
        <w:rPr>
          <w:rFonts w:ascii="Times New Roman" w:hAnsi="Times New Roman"/>
          <w:sz w:val="20"/>
        </w:rPr>
        <w:t>IUSAF weights are derived from inverted UN scale shares, normalised to sum to 1</w:t>
      </w:r>
    </w:p>
    <w:p>
      <w:pPr>
        <w:pStyle w:val="ListBullet"/>
      </w:pPr>
      <w:r>
        <w:rPr>
          <w:rFonts w:ascii="Times New Roman" w:hAnsi="Times New Roman"/>
          <w:sz w:val="20"/>
        </w:rPr>
        <w:t>TSAC weights are proportional to land area, normalised to sum to 1</w:t>
      </w:r>
    </w:p>
    <w:p>
      <w:pPr>
        <w:pStyle w:val="ListBullet"/>
      </w:pPr>
      <w:r>
        <w:rPr>
          <w:rFonts w:ascii="Times New Roman" w:hAnsi="Times New Roman"/>
          <w:sz w:val="20"/>
        </w:rPr>
        <w:t>SOSAC weights are equal-share across SIDS, normalised to sum to 1</w:t>
      </w:r>
    </w:p>
    <w:p>
      <w:pPr>
        <w:jc w:val="center"/>
      </w:pPr>
      <w:r>
        <w:rPr>
          <w:rFonts w:ascii="Times New Roman" w:hAnsi="Times New Roman"/>
          <w:sz w:val="20"/>
        </w:rPr>
        <w:t>- The final blend: `share = (1-β-γ)·IUSAF + β·TSAC + γ·SOSAC` is dimensionless</w:t>
      </w:r>
    </w:p>
    <w:p>
      <w:r>
        <w:rPr>
          <w:rFonts w:ascii="Times New Roman" w:hAnsi="Times New Roman"/>
          <w:sz w:val="20"/>
        </w:rPr>
        <w:t>Fund size enters only when computing monetary allocations:</w:t>
      </w:r>
    </w:p>
    <w:p>
      <w:pPr>
        <w:jc w:val="center"/>
      </w:pPr>
      <w:r>
        <w:rPr>
          <w:rFonts w:ascii="Times New Roman" w:hAnsi="Times New Roman"/>
          <w:sz w:val="20"/>
        </w:rPr>
        <w:t>`allocation = fund_size × final_share`.</w:t>
      </w:r>
    </w:p>
    <w:p>
      <w:r>
        <w:rPr>
          <w:rFonts w:ascii="Times New Roman" w:hAnsi="Times New Roman"/>
          <w:sz w:val="20"/>
        </w:rPr>
        <w:t>Therefore, share invariance is a structural property of the formula. This test</w:t>
      </w:r>
    </w:p>
    <w:p>
      <w:r>
        <w:rPr>
          <w:rFonts w:ascii="Times New Roman" w:hAnsi="Times New Roman"/>
          <w:sz w:val="20"/>
        </w:rPr>
        <w:t>confirms it empirically with exact zero difference across all pairs, providing</w:t>
      </w:r>
    </w:p>
    <w:p>
      <w:r>
        <w:rPr>
          <w:rFonts w:ascii="Times New Roman" w:hAnsi="Times New Roman"/>
          <w:sz w:val="20"/>
        </w:rPr>
        <w:t>a clear audit trail for reviewers.</w:t>
      </w:r>
    </w:p>
    <w:p>
      <w:pPr>
        <w:pStyle w:val="Heading2"/>
      </w:pPr>
      <w:r>
        <w:rPr>
          <w:rFonts w:ascii="Times New Roman" w:hAnsi="Times New Roman"/>
        </w:rPr>
        <w:t>Policy Implications</w:t>
      </w:r>
    </w:p>
    <w:p>
      <w:r>
        <w:rPr>
          <w:rFonts w:ascii="Times New Roman" w:hAnsi="Times New Roman"/>
          <w:sz w:val="20"/>
        </w:rPr>
        <w:t>Share invariance means that the relative distribution among Parties does not</w:t>
      </w:r>
    </w:p>
    <w:p>
      <w:r>
        <w:rPr>
          <w:rFonts w:ascii="Times New Roman" w:hAnsi="Times New Roman"/>
          <w:sz w:val="20"/>
        </w:rPr>
        <w:t>change when the Cali Fund grows or shrinks. A $50m fund and a $1bn fund produce</w:t>
      </w:r>
    </w:p>
    <w:p>
      <w:r>
        <w:rPr>
          <w:rFonts w:ascii="Times New Roman" w:hAnsi="Times New Roman"/>
          <w:sz w:val="20"/>
        </w:rPr>
        <w:t>identical percentage allocations — only the dollar amounts differ. This is an</w:t>
      </w:r>
    </w:p>
    <w:p>
      <w:r>
        <w:rPr>
          <w:rFonts w:ascii="Times New Roman" w:hAnsi="Times New Roman"/>
          <w:sz w:val="20"/>
        </w:rPr>
        <w:t>important property for the credibility and predictability of the allocation mechanism.</w:t>
      </w:r>
    </w:p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Generated by scripts/generate_v4_md_reports.py</w:t>
      </w:r>
      <w:r>
        <w:rPr>
          <w:rFonts w:ascii="Times New Roman" w:hAnsi="Times New Roman"/>
          <w:sz w:val="20"/>
        </w:rPr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V4 Integrity Checks</w:t>
      </w:r>
    </w:p>
    <w:p>
      <w:pPr>
        <w:pStyle w:val="Heading2"/>
      </w:pPr>
      <w:r>
        <w:rPr>
          <w:rFonts w:ascii="Times New Roman" w:hAnsi="Times New Roman"/>
        </w:rPr>
        <w:t>Purpose</w:t>
      </w:r>
    </w:p>
    <w:p>
      <w:r>
        <w:rPr>
          <w:rFonts w:ascii="Times New Roman" w:hAnsi="Times New Roman"/>
          <w:sz w:val="20"/>
        </w:rPr>
        <w:t>This report documents mechanical validity checks for a representative sample</w:t>
      </w:r>
    </w:p>
    <w:p>
      <w:pPr>
        <w:jc w:val="center"/>
      </w:pPr>
      <w:r>
        <w:rPr>
          <w:rFonts w:ascii="Times New Roman" w:hAnsi="Times New Roman"/>
          <w:sz w:val="20"/>
        </w:rPr>
        <w:t>of scenarios from the TSAC × SOSAC two-way grid. Checks follow the same</w:t>
      </w:r>
    </w:p>
    <w:p>
      <w:r>
        <w:rPr>
          <w:rFonts w:ascii="Times New Roman" w:hAnsi="Times New Roman"/>
          <w:sz w:val="20"/>
        </w:rPr>
        <w:t>framework used in v3 sensitivity reports.</w:t>
      </w:r>
    </w:p>
    <w:p>
      <w:pPr>
        <w:pStyle w:val="Heading2"/>
      </w:pPr>
      <w:r>
        <w:rPr>
          <w:rFonts w:ascii="Times New Roman" w:hAnsi="Times New Roman"/>
        </w:rPr>
        <w:t>Sample Design</w:t>
      </w:r>
    </w:p>
    <w:p>
      <w:r>
        <w:rPr>
          <w:rFonts w:ascii="Times New Roman" w:hAnsi="Times New Roman"/>
          <w:sz w:val="20"/>
        </w:rPr>
        <w:t>15 scenarios are sampled from the coarse grid, covering corner points</w:t>
      </w:r>
    </w:p>
    <w:p>
      <w:r>
        <w:rPr>
          <w:rFonts w:ascii="Times New Roman" w:hAnsi="Times New Roman"/>
          <w:sz w:val="20"/>
        </w:rPr>
        <w:t>(β=0/γ=0, β=0/γ=10%, β=15%/γ=0, β=15%/γ=10%), the gini-optimal point</w:t>
      </w:r>
    </w:p>
    <w:p>
      <w:r>
        <w:rPr>
          <w:rFonts w:ascii="Times New Roman" w:hAnsi="Times New Roman"/>
          <w:sz w:val="20"/>
        </w:rPr>
        <w:t>(β=2.5%/γ=3%), and intermediate points to verify grid-wide validity.</w:t>
      </w:r>
    </w:p>
    <w:p>
      <w:pPr>
        <w:pStyle w:val="Heading2"/>
      </w:pPr>
      <w:r>
        <w:rPr>
          <w:rFonts w:ascii="Times New Roman" w:hAnsi="Times New Roman"/>
        </w:rPr>
        <w:t>Results Summary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Scenarios checked</w:t>
      </w:r>
      <w:r>
        <w:rPr>
          <w:rFonts w:ascii="Times New Roman" w:hAnsi="Times New Roman"/>
          <w:sz w:val="20"/>
        </w:rPr>
        <w:t>: 15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All checks pass</w:t>
      </w:r>
      <w:r>
        <w:rPr>
          <w:rFonts w:ascii="Times New Roman" w:hAnsi="Times New Roman"/>
          <w:sz w:val="20"/>
        </w:rPr>
        <w:t>: 15/15</w:t>
      </w:r>
    </w:p>
    <w:p>
      <w:pPr>
        <w:pStyle w:val="Heading2"/>
      </w:pPr>
      <w:r>
        <w:rPr>
          <w:rFonts w:ascii="Times New Roman" w:hAnsi="Times New Roman"/>
        </w:rPr>
        <w:t>Check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Check</w:t>
            </w:r>
          </w:p>
        </w:tc>
        <w:tc>
          <w:tcPr>
            <w:tcW w:type="dxa" w:w="3135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3135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Conservation Shares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conservation shares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Conservation Money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conservation money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Non Negativity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non negativity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Component Consistency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component consistency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Iplc Split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iplc split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Band Monotonicity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band monotonicity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Floor Not Binding Unexpectedly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floor not binding unexpectedly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Ceiling Not Binding Unexpectedly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ceiling not binding unexpectedly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Sids Sosac Allocation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sids sosac allocation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15/15 PASS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Detailed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Scenario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β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γ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Shares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Money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Non-neg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Components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IPLC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Band</w:t>
            </w:r>
          </w:p>
        </w:tc>
        <w:tc>
          <w:tcPr>
            <w:tcW w:type="dxa" w:w="94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All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 γ=0.0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 γ=0.03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 γ=0.1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β=0.025 γ=0.0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β=0.025 γ=0.03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β=0.025 γ=0.1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β=0.05 γ=0.0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β=0.05 γ=0.03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β=0.05 γ=0.1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β=0.1 γ=0.0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β=0.1 γ=0.03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β=0.1 γ=0.1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β=0.15 γ=0.0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β=0.15 γ=0.03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9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β=0.15 γ=0.1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Grid-wide Conservation</w:t>
      </w:r>
    </w:p>
    <w:p>
      <w:r>
        <w:rPr>
          <w:rFonts w:ascii="Times New Roman" w:hAnsi="Times New Roman"/>
          <w:sz w:val="20"/>
        </w:rPr>
        <w:t>Across all 176 coarse-grid scenarios:</w:t>
      </w:r>
    </w:p>
    <w:p>
      <w:pPr>
        <w:pStyle w:val="ListBullet"/>
      </w:pPr>
      <w:r>
        <w:rPr>
          <w:rFonts w:ascii="Times New Roman" w:hAnsi="Times New Roman"/>
          <w:sz w:val="20"/>
        </w:rPr>
        <w:t>Share conservation: max deviation from 1.0 = 4.44e-16</w:t>
      </w:r>
    </w:p>
    <w:p>
      <w:pPr>
        <w:pStyle w:val="ListBullet"/>
      </w:pPr>
      <w:r>
        <w:rPr>
          <w:rFonts w:ascii="Times New Roman" w:hAnsi="Times New Roman"/>
          <w:sz w:val="20"/>
        </w:rPr>
        <w:t>Money conservation: max deviation from fund size = 4.55e-13m</w:t>
      </w:r>
    </w:p>
    <w:p>
      <w:pPr>
        <w:pStyle w:val="ListBullet"/>
      </w:pPr>
      <w:r>
        <w:rPr>
          <w:rFonts w:ascii="Times New Roman" w:hAnsi="Times New Roman"/>
          <w:sz w:val="20"/>
        </w:rPr>
        <w:t>Negative counts: 0 (zero across all scenarios)</w:t>
      </w:r>
    </w:p>
    <w:p>
      <w:pPr>
        <w:pStyle w:val="Heading2"/>
      </w:pPr>
      <w:r>
        <w:rPr>
          <w:rFonts w:ascii="Times New Roman" w:hAnsi="Times New Roman"/>
        </w:rPr>
        <w:t>Interpretation</w:t>
      </w:r>
    </w:p>
    <w:p>
      <w:r>
        <w:rPr>
          <w:rFonts w:ascii="Times New Roman" w:hAnsi="Times New Roman"/>
          <w:sz w:val="20"/>
        </w:rPr>
        <w:t>All sampled scenarios pass all integrity checks. The grid-wide statistics confirm</w:t>
      </w:r>
    </w:p>
    <w:p>
      <w:r>
        <w:rPr>
          <w:rFonts w:ascii="Times New Roman" w:hAnsi="Times New Roman"/>
          <w:sz w:val="20"/>
        </w:rPr>
        <w:t>that conservation and non-negativity hold across the entire parameter space.</w:t>
      </w:r>
    </w:p>
    <w:p>
      <w:r>
        <w:rPr>
          <w:rFonts w:ascii="Times New Roman" w:hAnsi="Times New Roman"/>
          <w:sz w:val="20"/>
        </w:rPr>
        <w:t>Results in the grid analysis reports are therefore mechanically valid and</w:t>
      </w:r>
    </w:p>
    <w:p>
      <w:r>
        <w:rPr>
          <w:rFonts w:ascii="Times New Roman" w:hAnsi="Times New Roman"/>
          <w:sz w:val="20"/>
        </w:rPr>
        <w:t>interpretable.</w:t>
      </w:r>
    </w:p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Generated by scripts/generate_v4_md_reports.py</w:t>
      </w:r>
      <w:r>
        <w:rPr>
          <w:rFonts w:ascii="Times New Roman" w:hAnsi="Times New Roman"/>
          <w:sz w:val="20"/>
        </w:rPr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V4 Technical Annex</w:t>
      </w:r>
    </w:p>
    <w:p>
      <w:pPr>
        <w:pStyle w:val="Heading2"/>
      </w:pPr>
      <w:r>
        <w:rPr>
          <w:rFonts w:ascii="Times New Roman" w:hAnsi="Times New Roman"/>
        </w:rPr>
        <w:t>Scope</w:t>
      </w:r>
    </w:p>
    <w:p>
      <w:r>
        <w:rPr>
          <w:rFonts w:ascii="Times New Roman" w:hAnsi="Times New Roman"/>
          <w:sz w:val="20"/>
        </w:rPr>
        <w:t>This annex documents the methodology for v4 sensitivity reports, which extend</w:t>
      </w:r>
    </w:p>
    <w:p>
      <w:r>
        <w:rPr>
          <w:rFonts w:ascii="Times New Roman" w:hAnsi="Times New Roman"/>
          <w:sz w:val="20"/>
        </w:rPr>
        <w:t>v3 with two-way grid sweeps and scale-invariance testing.</w:t>
      </w:r>
    </w:p>
    <w:p>
      <w:pPr>
        <w:pStyle w:val="Heading2"/>
      </w:pPr>
      <w:r>
        <w:rPr>
          <w:rFonts w:ascii="Times New Roman" w:hAnsi="Times New Roman"/>
        </w:rPr>
        <w:t>Formula Specification</w:t>
      </w:r>
    </w:p>
    <w:p>
      <w:pPr>
        <w:jc w:val="center"/>
      </w:pPr>
      <w:r>
        <w:rPr>
          <w:rFonts w:ascii="Times New Roman" w:hAnsi="Times New Roman"/>
          <w:sz w:val="20"/>
        </w:rPr>
        <w:t>Final Share = (1 − β − γ) · IUSAF + β · TSAC + γ · SOSAC</w:t>
      </w:r>
    </w:p>
    <w:p>
      <w:r>
        <w:rPr>
          <w:rFonts w:ascii="Times New Roman" w:hAnsi="Times New Roman"/>
          <w:sz w:val="20"/>
        </w:rPr>
        <w:t>*In the codebase, the TSAC weight and SOSAC weight are stored under the internal</w:t>
      </w:r>
    </w:p>
    <w:p>
      <w:r>
        <w:rPr>
          <w:rFonts w:ascii="Times New Roman" w:hAnsi="Times New Roman"/>
          <w:sz w:val="20"/>
        </w:rPr>
        <w:t>parameter names `tsac_beta` and `sosac_gamma` respectively, following the</w:t>
      </w:r>
    </w:p>
    <w:p>
      <w:r>
        <w:rPr>
          <w:rFonts w:ascii="Times New Roman" w:hAnsi="Times New Roman"/>
          <w:sz w:val="20"/>
        </w:rPr>
        <w:t>conventional Greek-letter notation used in the original formula specification.</w:t>
      </w:r>
    </w:p>
    <w:p>
      <w:r>
        <w:rPr>
          <w:rFonts w:ascii="Times New Roman" w:hAnsi="Times New Roman"/>
          <w:sz w:val="20"/>
        </w:rPr>
        <w:t>Readers reviewing the source code will find these names throughout; they</w:t>
      </w:r>
    </w:p>
    <w:p>
      <w:r>
        <w:rPr>
          <w:rFonts w:ascii="Times New Roman" w:hAnsi="Times New Roman"/>
          <w:sz w:val="20"/>
        </w:rPr>
        <w:t>correspond exactly to the TSAC weight and SOSAC weight referred to in this document.*</w:t>
      </w:r>
    </w:p>
    <w:p>
      <w:pPr>
        <w:pStyle w:val="Heading2"/>
      </w:pPr>
      <w:r>
        <w:rPr>
          <w:rFonts w:ascii="Times New Roman" w:hAnsi="Times New Roman"/>
        </w:rPr>
        <w:t>Two-way Grid Design</w:t>
      </w:r>
    </w:p>
    <w:p>
      <w:r>
        <w:rPr>
          <w:rFonts w:ascii="Times New Roman" w:hAnsi="Times New Roman"/>
          <w:sz w:val="20"/>
        </w:rPr>
        <w:t>The two-way grid generalises the v3 one-way sweep by varying both TSAC (β) and</w:t>
      </w:r>
    </w:p>
    <w:p>
      <w:r>
        <w:rPr>
          <w:rFonts w:ascii="Times New Roman" w:hAnsi="Times New Roman"/>
          <w:sz w:val="20"/>
        </w:rPr>
        <w:t>SOSAC (γ) simultaneously while holding all other parameters at the gini-minimum</w:t>
      </w:r>
    </w:p>
    <w:p>
      <w:r>
        <w:rPr>
          <w:rFonts w:ascii="Times New Roman" w:hAnsi="Times New Roman"/>
          <w:sz w:val="20"/>
        </w:rPr>
        <w:t>baseline values.</w:t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Parameter ranges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Grid</w:t>
            </w:r>
          </w:p>
        </w:tc>
        <w:tc>
          <w:tcPr>
            <w:tcW w:type="dxa" w:w="235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TSAC (β)</w:t>
            </w:r>
          </w:p>
        </w:tc>
        <w:tc>
          <w:tcPr>
            <w:tcW w:type="dxa" w:w="235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SOSAC (γ)</w:t>
            </w:r>
          </w:p>
        </w:tc>
        <w:tc>
          <w:tcPr>
            <w:tcW w:type="dxa" w:w="235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Scenarios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Coarse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0–15%, 1% steps (16 values)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0–10%, 1% steps (11 values)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176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Fine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0–10%, 0.5% steps (21 values)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0–10%, 0.5% steps (21 values)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441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/>
          <w:sz w:val="32"/>
        </w:rPr>
        <w:t>Metrics computed per scenario</w:t>
      </w:r>
    </w:p>
    <w:p>
      <w:r>
        <w:rPr>
          <w:rFonts w:ascii="Times New Roman" w:hAnsi="Times New Roman"/>
          <w:sz w:val="20"/>
        </w:rPr>
        <w:t>For each grid point, the following are computed:</w:t>
      </w:r>
    </w:p>
    <w:p>
      <w:pPr>
        <w:pStyle w:val="ListBullet"/>
      </w:pPr>
      <w:r>
        <w:rPr>
          <w:rFonts w:ascii="Times New Roman" w:hAnsi="Times New Roman"/>
          <w:sz w:val="20"/>
        </w:rPr>
        <w:t>Gini coefficient of allocations</w:t>
      </w:r>
    </w:p>
    <w:p>
      <w:pPr>
        <w:pStyle w:val="ListBullet"/>
      </w:pPr>
      <w:r>
        <w:rPr>
          <w:rFonts w:ascii="Times New Roman" w:hAnsi="Times New Roman"/>
          <w:sz w:val="20"/>
        </w:rPr>
        <w:t>Spearman rank correlation vs pure IUSAF</w:t>
      </w:r>
    </w:p>
    <w:p>
      <w:pPr>
        <w:pStyle w:val="ListBullet"/>
      </w:pPr>
      <w:r>
        <w:rPr>
          <w:rFonts w:ascii="Times New Roman" w:hAnsi="Times New Roman"/>
          <w:sz w:val="20"/>
        </w:rPr>
        <w:t>HHI (Herfindahl-Hirschman Index)</w:t>
      </w:r>
    </w:p>
    <w:p>
      <w:pPr>
        <w:pStyle w:val="ListBullet"/>
      </w:pPr>
      <w:r>
        <w:rPr>
          <w:rFonts w:ascii="Times New Roman" w:hAnsi="Times New Roman"/>
          <w:sz w:val="20"/>
        </w:rPr>
        <w:t>Top-10 and top-20 share concentration</w:t>
      </w:r>
    </w:p>
    <w:p>
      <w:pPr>
        <w:pStyle w:val="ListBullet"/>
      </w:pPr>
      <w:r>
        <w:rPr>
          <w:rFonts w:ascii="Times New Roman" w:hAnsi="Times New Roman"/>
          <w:sz w:val="20"/>
        </w:rPr>
        <w:t>Percentage of Parties below equality line</w:t>
      </w:r>
    </w:p>
    <w:p>
      <w:pPr>
        <w:pStyle w:val="ListBullet"/>
      </w:pPr>
      <w:r>
        <w:rPr>
          <w:rFonts w:ascii="Times New Roman" w:hAnsi="Times New Roman"/>
          <w:sz w:val="20"/>
        </w:rPr>
        <w:t>SIDS and LDC total allocations</w:t>
      </w:r>
    </w:p>
    <w:p>
      <w:pPr>
        <w:pStyle w:val="ListBullet"/>
      </w:pPr>
      <w:r>
        <w:rPr>
          <w:rFonts w:ascii="Times New Roman" w:hAnsi="Times New Roman"/>
          <w:sz w:val="20"/>
        </w:rPr>
        <w:t>TSAC/IUSAF component ratios (China, Brazil, maximum)</w:t>
      </w:r>
    </w:p>
    <w:p>
      <w:pPr>
        <w:pStyle w:val="ListBullet"/>
      </w:pPr>
      <w:r>
        <w:rPr>
          <w:rFonts w:ascii="Times New Roman" w:hAnsi="Times New Roman"/>
          <w:sz w:val="20"/>
        </w:rPr>
        <w:t>Overlay strength classification</w:t>
      </w:r>
    </w:p>
    <w:p>
      <w:pPr>
        <w:pStyle w:val="ListBullet"/>
      </w:pPr>
      <w:r>
        <w:rPr>
          <w:rFonts w:ascii="Times New Roman" w:hAnsi="Times New Roman"/>
          <w:sz w:val="20"/>
        </w:rPr>
        <w:t>Departure from pure IUSAF flag</w:t>
      </w:r>
    </w:p>
    <w:p>
      <w:pPr>
        <w:pStyle w:val="ListBullet"/>
      </w:pPr>
      <w:r>
        <w:rPr>
          <w:rFonts w:ascii="Times New Roman" w:hAnsi="Times New Roman"/>
          <w:sz w:val="20"/>
        </w:rPr>
        <w:t>Structural break flag</w:t>
      </w:r>
    </w:p>
    <w:p>
      <w:pPr>
        <w:pStyle w:val="ListBullet"/>
      </w:pPr>
      <w:r>
        <w:rPr>
          <w:rFonts w:ascii="Times New Roman" w:hAnsi="Times New Roman"/>
          <w:sz w:val="20"/>
        </w:rPr>
        <w:t>Income and regional group totals</w:t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Comparators</w:t>
      </w:r>
    </w:p>
    <w:p>
      <w:r>
        <w:rPr>
          <w:rFonts w:ascii="Times New Roman" w:hAnsi="Times New Roman"/>
          <w:sz w:val="20"/>
        </w:rPr>
        <w:t>Each grid point uses two comparator scenarios:</w:t>
      </w:r>
    </w:p>
    <w:p>
      <w:pPr>
        <w:pStyle w:val="ListNumber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Pure IUSAF</w:t>
      </w:r>
      <w:r>
        <w:rPr>
          <w:rFonts w:ascii="Times New Roman" w:hAnsi="Times New Roman"/>
          <w:sz w:val="20"/>
        </w:rPr>
        <w:t>: same parameters but β=0, γ=0 (isolates stewardship effect)</w:t>
      </w:r>
    </w:p>
    <w:p>
      <w:pPr>
        <w:pStyle w:val="ListNumber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Pure equality</w:t>
      </w:r>
      <w:r>
        <w:rPr>
          <w:rFonts w:ascii="Times New Roman" w:hAnsi="Times New Roman"/>
          <w:sz w:val="20"/>
        </w:rPr>
        <w:t>: same parameters but equality_mode=True (provides equality benchmark)</w:t>
      </w:r>
    </w:p>
    <w:p>
      <w:pPr>
        <w:pStyle w:val="Heading2"/>
      </w:pPr>
      <w:r>
        <w:rPr>
          <w:rFonts w:ascii="Times New Roman" w:hAnsi="Times New Roman"/>
        </w:rPr>
        <w:t>Scale Invariance Test Design</w:t>
      </w:r>
    </w:p>
    <w:p>
      <w:r>
        <w:rPr>
          <w:rFonts w:ascii="Times New Roman" w:hAnsi="Times New Roman"/>
          <w:sz w:val="20"/>
        </w:rPr>
        <w:t>The gini-minimum scenario is evaluated at four fund sizes ($50m, $200m, $500m, $1bn).</w:t>
      </w:r>
    </w:p>
    <w:p>
      <w:r>
        <w:rPr>
          <w:rFonts w:ascii="Times New Roman" w:hAnsi="Times New Roman"/>
          <w:sz w:val="20"/>
        </w:rPr>
        <w:t>For each of the C(4,2)=6 pairs, `final_share` vectors are compared element-wise.</w:t>
      </w:r>
    </w:p>
    <w:p>
      <w:r>
        <w:rPr>
          <w:rFonts w:ascii="Times New Roman" w:hAnsi="Times New Roman"/>
          <w:sz w:val="20"/>
        </w:rPr>
        <w:t>The test passes if the maximum absolute difference across all eligible Parties</w:t>
      </w:r>
    </w:p>
    <w:p>
      <w:pPr>
        <w:jc w:val="center"/>
      </w:pPr>
      <w:r>
        <w:rPr>
          <w:rFonts w:ascii="Times New Roman" w:hAnsi="Times New Roman"/>
          <w:sz w:val="20"/>
        </w:rPr>
        <w:t>is below 1×10⁻¹².</w:t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Rationale for threshold</w:t>
      </w:r>
    </w:p>
    <w:p>
      <w:pPr>
        <w:jc w:val="center"/>
      </w:pPr>
      <w:r>
        <w:rPr>
          <w:rFonts w:ascii="Times New Roman" w:hAnsi="Times New Roman"/>
          <w:sz w:val="20"/>
        </w:rPr>
        <w:t>The 1×10⁻¹² threshold is effectively zero at double precision. It is chosen</w:t>
      </w:r>
    </w:p>
    <w:p>
      <w:r>
        <w:rPr>
          <w:rFonts w:ascii="Times New Roman" w:hAnsi="Times New Roman"/>
          <w:sz w:val="20"/>
        </w:rPr>
        <w:t>to allow for floating-point rounding while confirming that the formula is truly</w:t>
      </w:r>
    </w:p>
    <w:p>
      <w:r>
        <w:rPr>
          <w:rFonts w:ascii="Times New Roman" w:hAnsi="Times New Roman"/>
          <w:sz w:val="20"/>
        </w:rPr>
        <w:t>scale-independent rather than merely approximately so.</w:t>
      </w:r>
    </w:p>
    <w:p>
      <w:pPr>
        <w:pStyle w:val="Heading2"/>
      </w:pPr>
      <w:r>
        <w:rPr>
          <w:rFonts w:ascii="Times New Roman" w:hAnsi="Times New Roman"/>
        </w:rPr>
        <w:t>Integrity Check Framework</w:t>
      </w:r>
    </w:p>
    <w:p>
      <w:r>
        <w:rPr>
          <w:rFonts w:ascii="Times New Roman" w:hAnsi="Times New Roman"/>
          <w:sz w:val="20"/>
        </w:rPr>
        <w:t>Checks follow the v3 framework and include:</w:t>
      </w:r>
    </w:p>
    <w:p>
      <w:pPr>
        <w:pStyle w:val="ListBullet"/>
      </w:pPr>
      <w:r>
        <w:rPr>
          <w:rFonts w:ascii="Times New Roman" w:hAnsi="Times New Roman"/>
          <w:sz w:val="20"/>
        </w:rPr>
        <w:t>Conservation of shares (sum = 1.0)</w:t>
      </w:r>
    </w:p>
    <w:p>
      <w:pPr>
        <w:pStyle w:val="ListBullet"/>
      </w:pPr>
      <w:r>
        <w:rPr>
          <w:rFonts w:ascii="Times New Roman" w:hAnsi="Times New Roman"/>
          <w:sz w:val="20"/>
        </w:rPr>
        <w:t>Conservation of money (total allocation = fund size)</w:t>
      </w:r>
    </w:p>
    <w:p>
      <w:pPr>
        <w:pStyle w:val="ListBullet"/>
      </w:pPr>
      <w:r>
        <w:rPr>
          <w:rFonts w:ascii="Times New Roman" w:hAnsi="Times New Roman"/>
          <w:sz w:val="20"/>
        </w:rPr>
        <w:t>Non-negativity of allocations</w:t>
      </w:r>
    </w:p>
    <w:p>
      <w:pPr>
        <w:pStyle w:val="ListBullet"/>
      </w:pPr>
      <w:r>
        <w:rPr>
          <w:rFonts w:ascii="Times New Roman" w:hAnsi="Times New Roman"/>
          <w:sz w:val="20"/>
        </w:rPr>
        <w:t>Internal component consistency (IUSAF + TSAC + SOSAC = total)</w:t>
      </w:r>
    </w:p>
    <w:p>
      <w:pPr>
        <w:pStyle w:val="ListBullet"/>
      </w:pPr>
      <w:r>
        <w:rPr>
          <w:rFonts w:ascii="Times New Roman" w:hAnsi="Times New Roman"/>
          <w:sz w:val="20"/>
        </w:rPr>
        <w:t>IPLC split consistency (State + IPLC = total)</w:t>
      </w:r>
    </w:p>
    <w:p>
      <w:pPr>
        <w:pStyle w:val="ListBullet"/>
      </w:pPr>
      <w:r>
        <w:rPr>
          <w:rFonts w:ascii="Times New Roman" w:hAnsi="Times New Roman"/>
          <w:sz w:val="20"/>
        </w:rPr>
        <w:t>Band monotonicity (for pure IUSAF scenarios)</w:t>
      </w:r>
    </w:p>
    <w:p>
      <w:pPr>
        <w:pStyle w:val="ListBullet"/>
      </w:pPr>
      <w:r>
        <w:rPr>
          <w:rFonts w:ascii="Times New Roman" w:hAnsi="Times New Roman"/>
          <w:sz w:val="20"/>
        </w:rPr>
        <w:t>Floor not binding unexpectedly</w:t>
      </w:r>
    </w:p>
    <w:p>
      <w:pPr>
        <w:pStyle w:val="ListBullet"/>
      </w:pPr>
      <w:r>
        <w:rPr>
          <w:rFonts w:ascii="Times New Roman" w:hAnsi="Times New Roman"/>
          <w:sz w:val="20"/>
        </w:rPr>
        <w:t>Ceiling not binding unexpectedly</w:t>
      </w:r>
    </w:p>
    <w:p>
      <w:pPr>
        <w:pStyle w:val="ListBullet"/>
      </w:pPr>
      <w:r>
        <w:rPr>
          <w:rFonts w:ascii="Times New Roman" w:hAnsi="Times New Roman"/>
          <w:sz w:val="20"/>
        </w:rPr>
        <w:t>SOSAC allocation correctness</w:t>
      </w:r>
    </w:p>
    <w:p>
      <w:pPr>
        <w:pStyle w:val="Heading2"/>
      </w:pPr>
      <w:r>
        <w:rPr>
          <w:rFonts w:ascii="Times New Roman" w:hAnsi="Times New Roman"/>
        </w:rPr>
        <w:t>Relationship to V3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V3 Output</w:t>
            </w:r>
          </w:p>
        </w:tc>
        <w:tc>
          <w:tcPr>
            <w:tcW w:type="dxa" w:w="4703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V4 Equivalent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one_way_sweep.csv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tsac_sosac_grid_coarse.csv (generalised)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scenario_brief.md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executive_summary.md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comparative_report.md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two_way_grid_analysis.md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local_stability.md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Not repeated (v3 findings unchanged)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balance_point_summary.md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Not repeated (v3 findings unchanged)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technical_annex.md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technical_annex.md (updated)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integrity_checks.csv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integrity_checks.csv + integrity_checks_report.md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Departure and Overlay Criteria</w:t>
      </w:r>
    </w:p>
    <w:p>
      <w:r>
        <w:rPr>
          <w:rFonts w:ascii="Times New Roman" w:hAnsi="Times New Roman"/>
          <w:sz w:val="20"/>
        </w:rPr>
        <w:t>Departure from pure IUSAF is flagged when Spearman ρ &lt; 0.95 or top-20 turnover &gt; 20%.</w:t>
      </w:r>
    </w:p>
    <w:p>
      <w:r>
        <w:rPr>
          <w:rFonts w:ascii="Times New Roman" w:hAnsi="Times New Roman"/>
          <w:sz w:val="20"/>
        </w:rPr>
        <w:t>Overlay strength labels: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Minimal overlay</w:t>
      </w:r>
      <w:r>
        <w:rPr>
          <w:rFonts w:ascii="Times New Roman" w:hAnsi="Times New Roman"/>
          <w:sz w:val="20"/>
        </w:rPr>
        <w:t>: ρ ≥ 0.98 and turnover ≤ 10%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Moderate overlay</w:t>
      </w:r>
      <w:r>
        <w:rPr>
          <w:rFonts w:ascii="Times New Roman" w:hAnsi="Times New Roman"/>
          <w:sz w:val="20"/>
        </w:rPr>
        <w:t>: ρ ≥ 0.95 and turnover ≤ 20%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Strong overlay</w:t>
      </w:r>
      <w:r>
        <w:rPr>
          <w:rFonts w:ascii="Times New Roman" w:hAnsi="Times New Roman"/>
          <w:sz w:val="20"/>
        </w:rPr>
        <w:t>: ρ ≥ 0.90 or turnover ≤ 40%</w:t>
      </w:r>
    </w:p>
    <w:p>
      <w:pPr>
        <w:pStyle w:val="ListBullet"/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Dominant overlay</w:t>
      </w:r>
      <w:r>
        <w:rPr>
          <w:rFonts w:ascii="Times New Roman" w:hAnsi="Times New Roman"/>
          <w:sz w:val="20"/>
        </w:rPr>
        <w:t>: otherwise</w:t>
      </w:r>
    </w:p>
    <w:p>
      <w:pPr>
        <w:pStyle w:val="Heading2"/>
      </w:pPr>
      <w:r>
        <w:rPr>
          <w:rFonts w:ascii="Times New Roman" w:hAnsi="Times New Roman"/>
        </w:rPr>
        <w:t>Software and Reproducibility</w:t>
      </w:r>
    </w:p>
    <w:p>
      <w:pPr>
        <w:pStyle w:val="ListBullet"/>
      </w:pPr>
      <w:r>
        <w:rPr>
          <w:rFonts w:ascii="Times New Roman" w:hAnsi="Times New Roman"/>
          <w:sz w:val="20"/>
        </w:rPr>
        <w:t>Calculator: `src/cali_model/calculator.py` (shared with main app)</w:t>
      </w:r>
    </w:p>
    <w:p>
      <w:pPr>
        <w:pStyle w:val="ListBullet"/>
      </w:pPr>
      <w:r>
        <w:rPr>
          <w:rFonts w:ascii="Times New Roman" w:hAnsi="Times New Roman"/>
          <w:sz w:val="20"/>
        </w:rPr>
        <w:t>Scenario library: `src/cali_model/sensitivity_scenarios.py`</w:t>
      </w:r>
    </w:p>
    <w:p>
      <w:pPr>
        <w:pStyle w:val="ListBullet"/>
      </w:pPr>
      <w:r>
        <w:rPr>
          <w:rFonts w:ascii="Times New Roman" w:hAnsi="Times New Roman"/>
          <w:sz w:val="20"/>
        </w:rPr>
        <w:t>Metrics: `src/cali_model/sensitivity_metrics.py`</w:t>
      </w:r>
    </w:p>
    <w:p>
      <w:pPr>
        <w:pStyle w:val="ListBullet"/>
      </w:pPr>
      <w:r>
        <w:rPr>
          <w:rFonts w:ascii="Times New Roman" w:hAnsi="Times New Roman"/>
          <w:sz w:val="20"/>
        </w:rPr>
        <w:t>Generation script: `scripts/generate_v4_sensitivity_reports.py`</w:t>
      </w:r>
    </w:p>
    <w:p>
      <w:pPr>
        <w:pStyle w:val="ListBullet"/>
      </w:pPr>
      <w:r>
        <w:rPr>
          <w:rFonts w:ascii="Times New Roman" w:hAnsi="Times New Roman"/>
          <w:sz w:val="20"/>
        </w:rPr>
        <w:t>Report generation: `scripts/generate_v4_md_reports.py`</w:t>
      </w:r>
    </w:p>
    <w:p>
      <w:r>
        <w:rPr>
          <w:rFonts w:ascii="Times New Roman" w:hAnsi="Times New Roman"/>
          <w:sz w:val="20"/>
        </w:rPr>
        <w:t>All outputs are deterministically reproducible from the same repository state.</w:t>
      </w:r>
    </w:p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0"/>
        </w:rPr>
      </w:r>
      <w:r>
        <w:rPr>
          <w:rFonts w:ascii="Times New Roman" w:hAnsi="Times New Roman"/>
          <w:i/>
          <w:sz w:val="20"/>
        </w:rPr>
        <w:t>Generated by scripts/generate_v4_md_reports.py</w:t>
      </w:r>
      <w:r>
        <w:rPr>
          <w:rFonts w:ascii="Times New Roman" w:hAnsi="Times New Roman"/>
          <w:sz w:val="20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