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rPr>
          <w:rFonts w:ascii="Times New Roman" w:hAnsi="Times New Roman"/>
          <w:sz w:val="24"/>
        </w:rPr>
        <w:t>Country Annex: IUSAF (Pure) — USD 50M</w:t>
      </w:r>
    </w:p>
    <w:p>
      <w:pPr>
        <w:jc w:val="center"/>
      </w:pPr>
      <w:r>
        <w:rPr>
          <w:rFonts w:ascii="Times New Roman" w:hAnsi="Times New Roman"/>
          <w:i/>
          <w:sz w:val="17"/>
        </w:rPr>
        <w:t>142 eligible Parties | Fund: USD 50 M | State/IPLC: 50/50 | Gini: 0.0873</w:t>
      </w:r>
    </w:p>
    <w:p>
      <w:r>
        <w:rPr>
          <w:rFonts w:ascii="Times New Roman" w:hAnsi="Times New Roman"/>
          <w:sz w:val="17"/>
        </w:rPr>
        <w:t>IUSAF: USD 50.0 M (100.0%), TSAC: USD 0.0 M (0.0%), SOSAC: USD 0.0 M (0.0%), LDC total: USD 17.0 M, SIDS total: USD 15.2 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Bolivia (Plurinational State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50.00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50.00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0.00</w:t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