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Gini-minimum — USD 500M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500 M | State/IPLC: 50/50 | Gini: 0.0886</w:t>
      </w:r>
    </w:p>
    <w:p>
      <w:r>
        <w:rPr>
          <w:rFonts w:ascii="Times New Roman" w:hAnsi="Times New Roman"/>
          <w:sz w:val="17"/>
        </w:rPr>
        <w:t>IUSAF: USD 472.5 M (94.5%), TSAC: USD 12.5 M (2.5%), SOSAC: USD 15.0 M (3.0%), LDC total: USD 166.5 M, SIDS total: USD 159.1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472.50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12.50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