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IUSAF (Pure) — USD 500M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500 M | State/IPLC: 50/50 | Gini: 0.0873</w:t>
      </w:r>
    </w:p>
    <w:p>
      <w:r>
        <w:rPr>
          <w:rFonts w:ascii="Times New Roman" w:hAnsi="Times New Roman"/>
          <w:sz w:val="17"/>
        </w:rPr>
        <w:t>IUSAF: USD 500.0 M (100.0%), TSAC: USD 0.0 M (0.0%), SOSAC: USD 0.0 M (0.0%), LDC total: USD 169.9 M, SIDS total: USD 152.3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