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Band-order boundary — USD 1B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1,000 M | State/IPLC: 50/50 | Gini: 0.0866</w:t>
      </w:r>
    </w:p>
    <w:p>
      <w:r>
        <w:rPr>
          <w:rFonts w:ascii="Times New Roman" w:hAnsi="Times New Roman"/>
          <w:sz w:val="17"/>
        </w:rPr>
        <w:t>IUSAF: USD 940.0 M (94.0%), TSAC: USD 30.0 M (3.0%), SOSAC: USD 30.0 M (3.0%), LDC total: USD 332.7 M, SIDS total: USD 316.8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7.66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6.73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6.65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6.65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940.00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30.00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30.00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