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4"/>
        </w:rPr>
        <w:t>Country Annex: Gini-minimum — USD 1B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Fund: USD 1,000 M | State/IPLC: 50/50 | Gini: 0.0886</w:t>
      </w:r>
    </w:p>
    <w:p>
      <w:r>
        <w:rPr>
          <w:rFonts w:ascii="Times New Roman" w:hAnsi="Times New Roman"/>
          <w:sz w:val="17"/>
        </w:rPr>
        <w:t>IUSAF: USD 945.0 M (94.5%), TSAC: USD 25.0 M (2.5%), SOSAC: USD 30.0 M (3.0%), LDC total: USD 333.1 M, SIDS total: USD 318.3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7.90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7.80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6.68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6.68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945.00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30.00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