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IUSAF (Pure) — USD 1B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1,000 M | State/IPLC: 50/50 | Gini: 0.0873</w:t>
      </w:r>
    </w:p>
    <w:p>
      <w:r>
        <w:rPr>
          <w:rFonts w:ascii="Times New Roman" w:hAnsi="Times New Roman"/>
          <w:sz w:val="17"/>
        </w:rPr>
        <w:t>IUSAF: USD 1000.0 M (100.0%), TSAC: USD 0.0 M (0.0%), SOSAC: USD 0.0 M (0.0%), LDC total: USD 339.9 M, SIDS total: USD 304.6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