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Band-order boundary — USD 200M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200 M | State/IPLC: 50/50 | Gini: 0.0866</w:t>
      </w:r>
    </w:p>
    <w:p>
      <w:r>
        <w:rPr>
          <w:rFonts w:ascii="Times New Roman" w:hAnsi="Times New Roman"/>
          <w:sz w:val="17"/>
        </w:rPr>
        <w:t>IUSAF: USD 188.0 M (94.0%), TSAC: USD 6.0 M (3.0%), SOSAC: USD 6.0 M (3.0%), LDC total: USD 66.5 M, SIDS total: USD 63.4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188.00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6.00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6.00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