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sz w:val="32"/>
        </w:rPr>
        <w:t>Country Annexes: USD 200M Fund</w:t>
      </w:r>
    </w:p>
    <w:p>
      <w:pPr>
        <w:jc w:val="center"/>
      </w:pPr>
      <w:r>
        <w:rPr>
          <w:rFonts w:ascii="Times New Roman" w:hAnsi="Times New Roman"/>
          <w:i/>
          <w:sz w:val="20"/>
        </w:rPr>
        <w:t>142 eligible Parties | State/IPLC: 50/50 | Four balance-point scenarios ranked by total allocation</w:t>
      </w:r>
    </w:p>
    <w:p>
      <w:r>
        <w:br w:type="page"/>
      </w:r>
    </w:p>
    <w:p>
      <w:pPr>
        <w:pStyle w:val="Heading2"/>
        <w:jc w:val="center"/>
      </w:pPr>
      <w:r>
        <w:rPr>
          <w:rFonts w:ascii="Times New Roman" w:hAnsi="Times New Roman"/>
          <w:sz w:val="26"/>
        </w:rPr>
        <w:t>IUSAF (Pure)</w:t>
      </w:r>
    </w:p>
    <w:p>
      <w:pPr>
        <w:jc w:val="center"/>
      </w:pPr>
      <w:r>
        <w:rPr>
          <w:rFonts w:ascii="Times New Roman" w:hAnsi="Times New Roman"/>
          <w:i/>
          <w:sz w:val="18"/>
        </w:rPr>
        <w:t>Pure IUSAF allocation with band inversion, no TSAC or SOSAC</w:t>
      </w:r>
    </w:p>
    <w:p>
      <w:r>
        <w:rPr>
          <w:rFonts w:ascii="Times New Roman" w:hAnsi="Times New Roman"/>
          <w:sz w:val="17"/>
        </w:rPr>
        <w:t>142 eligible Parties | Fund: USD 200M | State/IPLC: 50/50 | Gini: 0.0872 | IUSAF: 200.0 M (100.0%), TSAC: 0.0 M (0.0%), SOSAC: 0.0 M (0.0%), LDC: 68.0 M, SIDS: 60.9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rPr>
          <w:rFonts w:ascii="Times New Roman" w:hAnsi="Times New Roman"/>
          <w:sz w:val="26"/>
        </w:rPr>
        <w:t>Strict (TSAC 1.5%, SOSAC 3%)</w:t>
      </w:r>
    </w:p>
    <w:p>
      <w:pPr>
        <w:jc w:val="center"/>
      </w:pPr>
      <w:r>
        <w:rPr>
          <w:rFonts w:ascii="Times New Roman" w:hAnsi="Times New Roman"/>
          <w:i/>
          <w:sz w:val="18"/>
        </w:rPr>
        <w:t>Strict balance point</w:t>
      </w:r>
    </w:p>
    <w:p>
      <w:r>
        <w:rPr>
          <w:rFonts w:ascii="Times New Roman" w:hAnsi="Times New Roman"/>
          <w:sz w:val="17"/>
        </w:rPr>
        <w:t>142 eligible Parties | Fund: USD 200M | State/IPLC: 50/50 | Gini: 0.0933 | IUSAF: 191.0 M (95.5%), TSAC: 3.0 M (1.5%), SOSAC: 6.0 M (3.0%), LDC: 66.8 M, SIDS: 64.2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191.00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3.00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6.00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rPr>
          <w:rFonts w:ascii="Times New Roman" w:hAnsi="Times New Roman"/>
          <w:sz w:val="26"/>
        </w:rPr>
        <w:t>Gini-minimum (TSAC 2.5%, SOSAC 3%)</w:t>
      </w:r>
    </w:p>
    <w:p>
      <w:pPr>
        <w:jc w:val="center"/>
      </w:pPr>
      <w:r>
        <w:rPr>
          <w:rFonts w:ascii="Times New Roman" w:hAnsi="Times New Roman"/>
          <w:i/>
          <w:sz w:val="18"/>
        </w:rPr>
        <w:t>Gini-minimum balance point</w:t>
      </w:r>
    </w:p>
    <w:p>
      <w:r>
        <w:rPr>
          <w:rFonts w:ascii="Times New Roman" w:hAnsi="Times New Roman"/>
          <w:sz w:val="17"/>
        </w:rPr>
        <w:t>142 eligible Parties | Fund: USD 200M | State/IPLC: 50/50 | Gini: 0.0886 | IUSAF: 189.0 M (94.5%), TSAC: 5.0 M (2.5%), SOSAC: 6.0 M (3.0%), LDC: 66.6 M, SIDS: 63.7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189.00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6.00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rPr>
          <w:rFonts w:ascii="Times New Roman" w:hAnsi="Times New Roman"/>
          <w:sz w:val="26"/>
        </w:rPr>
        <w:t>Band-order boundary (TSAC 3.0%, SOSAC 3%)</w:t>
      </w:r>
    </w:p>
    <w:p>
      <w:pPr>
        <w:jc w:val="center"/>
      </w:pPr>
      <w:r>
        <w:rPr>
          <w:rFonts w:ascii="Times New Roman" w:hAnsi="Times New Roman"/>
          <w:i/>
          <w:sz w:val="18"/>
        </w:rPr>
        <w:t>Band-order boundary</w:t>
      </w:r>
    </w:p>
    <w:p>
      <w:r>
        <w:rPr>
          <w:rFonts w:ascii="Times New Roman" w:hAnsi="Times New Roman"/>
          <w:sz w:val="17"/>
        </w:rPr>
        <w:t>142 eligible Parties | Fund: USD 200M | State/IPLC: 50/50 | Gini: 0.0866 | IUSAF: 188.0 M (94.0%), TSAC: 6.0 M (3.0%), SOSAC: 6.0 M (3.0%), LDC: 66.5 M, SIDS: 63.4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188.00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6.00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6.00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