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2246B" w14:textId="77777777" w:rsidR="000F473F" w:rsidRPr="000F473F" w:rsidRDefault="000F473F" w:rsidP="000F473F">
      <w:pPr>
        <w:rPr>
          <w:rFonts w:ascii="Calibri" w:hAnsi="Calibri" w:cs="Calibri"/>
        </w:rPr>
      </w:pPr>
      <w:r w:rsidRPr="000F473F">
        <w:rPr>
          <w:rFonts w:ascii="Calibri" w:hAnsi="Calibri" w:cs="Calibri"/>
          <w:b/>
          <w:bCs/>
        </w:rPr>
        <w:t>Experimental Design</w:t>
      </w:r>
    </w:p>
    <w:p w14:paraId="3B87FD95" w14:textId="77777777" w:rsidR="000F473F" w:rsidRDefault="000F473F" w:rsidP="000F473F">
      <w:pPr>
        <w:rPr>
          <w:rFonts w:ascii="Calibri" w:hAnsi="Calibri" w:cs="Calibri"/>
        </w:rPr>
      </w:pPr>
      <w:r w:rsidRPr="000F473F">
        <w:rPr>
          <w:rFonts w:ascii="Calibri" w:hAnsi="Calibri" w:cs="Calibri"/>
        </w:rPr>
        <w:t xml:space="preserve">Participants: 25, within-subject design (each participant completed all conditions) Conditions: 10 experimental conditions × 3 scenes = 750 trials total </w:t>
      </w:r>
    </w:p>
    <w:p w14:paraId="14DFE929" w14:textId="77777777" w:rsidR="000F473F" w:rsidRDefault="000F473F" w:rsidP="000F473F">
      <w:pPr>
        <w:rPr>
          <w:rFonts w:ascii="Calibri" w:hAnsi="Calibri" w:cs="Calibri"/>
        </w:rPr>
      </w:pPr>
      <w:r w:rsidRPr="000F473F">
        <w:rPr>
          <w:rFonts w:ascii="Calibri" w:hAnsi="Calibri" w:cs="Calibri"/>
        </w:rPr>
        <w:t xml:space="preserve">Independent Variables (IVs): </w:t>
      </w:r>
    </w:p>
    <w:p w14:paraId="23E04EAE" w14:textId="77777777" w:rsidR="000F473F" w:rsidRDefault="000F473F" w:rsidP="000F473F">
      <w:pPr>
        <w:rPr>
          <w:rFonts w:ascii="Calibri" w:hAnsi="Calibri" w:cs="Calibri"/>
        </w:rPr>
      </w:pPr>
      <w:r w:rsidRPr="000F473F">
        <w:rPr>
          <w:rFonts w:ascii="Calibri" w:hAnsi="Calibri" w:cs="Calibri"/>
        </w:rPr>
        <w:t xml:space="preserve">Flicker frequency: 0 (stable control), 8.33, 12.5, 25 Hz; </w:t>
      </w:r>
    </w:p>
    <w:p w14:paraId="4589062F" w14:textId="34BF244C" w:rsidR="000F473F" w:rsidRDefault="000F473F" w:rsidP="000F473F">
      <w:pPr>
        <w:rPr>
          <w:rFonts w:ascii="Calibri" w:hAnsi="Calibri" w:cs="Calibri"/>
        </w:rPr>
      </w:pPr>
      <w:r w:rsidRPr="000F473F">
        <w:rPr>
          <w:rFonts w:ascii="Calibri" w:hAnsi="Calibri" w:cs="Calibri"/>
        </w:rPr>
        <w:t xml:space="preserve">Modulation depth (flickering conditions only): 40%, 60%, 80% </w:t>
      </w:r>
    </w:p>
    <w:p w14:paraId="30B61937" w14:textId="77777777" w:rsidR="000F473F" w:rsidRDefault="000F473F" w:rsidP="000F473F">
      <w:pPr>
        <w:rPr>
          <w:rFonts w:ascii="Calibri" w:hAnsi="Calibri" w:cs="Calibri"/>
        </w:rPr>
      </w:pPr>
      <w:r w:rsidRPr="000F473F">
        <w:rPr>
          <w:rFonts w:ascii="Calibri" w:hAnsi="Calibri" w:cs="Calibri"/>
        </w:rPr>
        <w:t xml:space="preserve">Dependent Variables (DVs): </w:t>
      </w:r>
    </w:p>
    <w:p w14:paraId="36CBDCF0" w14:textId="5F02D07E" w:rsidR="000F473F" w:rsidRPr="000F473F" w:rsidRDefault="000F473F" w:rsidP="000F473F">
      <w:pPr>
        <w:rPr>
          <w:rFonts w:ascii="Calibri" w:hAnsi="Calibri" w:cs="Calibri"/>
        </w:rPr>
      </w:pPr>
      <w:r w:rsidRPr="000F473F">
        <w:rPr>
          <w:rFonts w:ascii="Calibri" w:hAnsi="Calibri" w:cs="Calibri"/>
        </w:rPr>
        <w:t xml:space="preserve">Behavioral measure (TTC), subjective ratings (Q1–Q4 + Cognitive Load), 7 eye-tracking metrics, Simulator Sickness Questionnaire (SSQ) Analysis was conducted in two steps: Step 1 compared all </w:t>
      </w:r>
      <w:r>
        <w:rPr>
          <w:rFonts w:ascii="Calibri" w:hAnsi="Calibri" w:cs="Calibri" w:hint="eastAsia"/>
        </w:rPr>
        <w:t>stable+3</w:t>
      </w:r>
      <w:r w:rsidRPr="000F473F">
        <w:rPr>
          <w:rFonts w:ascii="Calibri" w:hAnsi="Calibri" w:cs="Calibri"/>
        </w:rPr>
        <w:t xml:space="preserve"> frequency levels; Step 2 compared only the </w:t>
      </w:r>
      <w:r w:rsidR="00112959" w:rsidRPr="00112959">
        <w:rPr>
          <w:rFonts w:ascii="Calibri" w:hAnsi="Calibri" w:cs="Calibri"/>
        </w:rPr>
        <w:t xml:space="preserve">3 (frequency) × 3 (modulation depth) </w:t>
      </w:r>
      <w:r w:rsidRPr="000F473F">
        <w:rPr>
          <w:rFonts w:ascii="Calibri" w:hAnsi="Calibri" w:cs="Calibri"/>
        </w:rPr>
        <w:t>conditions</w:t>
      </w:r>
      <w:r w:rsidR="00112959">
        <w:rPr>
          <w:rFonts w:ascii="Calibri" w:hAnsi="Calibri" w:cs="Calibri" w:hint="eastAsia"/>
        </w:rPr>
        <w:t xml:space="preserve"> design</w:t>
      </w:r>
      <w:r w:rsidRPr="000F473F">
        <w:rPr>
          <w:rFonts w:ascii="Calibri" w:hAnsi="Calibri" w:cs="Calibri"/>
        </w:rPr>
        <w:t>.</w:t>
      </w:r>
    </w:p>
    <w:p w14:paraId="45E7A247" w14:textId="418E0556" w:rsidR="000F473F" w:rsidRPr="00112959" w:rsidRDefault="000F473F" w:rsidP="000F473F">
      <w:pPr>
        <w:rPr>
          <w:rFonts w:ascii="Calibri" w:hAnsi="Calibri" w:cs="Calibri"/>
        </w:rPr>
      </w:pPr>
    </w:p>
    <w:p w14:paraId="76F755C3" w14:textId="0A8F495F" w:rsidR="00112959" w:rsidRPr="00112959" w:rsidRDefault="00112959" w:rsidP="00112959">
      <w:pPr>
        <w:rPr>
          <w:rFonts w:ascii="Calibri" w:hAnsi="Calibri" w:cs="Calibri"/>
        </w:rPr>
      </w:pPr>
    </w:p>
    <w:p w14:paraId="09A20CDC" w14:textId="77777777" w:rsidR="00112959" w:rsidRPr="00112959" w:rsidRDefault="00112959" w:rsidP="00112959">
      <w:pPr>
        <w:rPr>
          <w:rFonts w:ascii="Calibri" w:hAnsi="Calibri" w:cs="Calibri"/>
          <w:b/>
          <w:bCs/>
        </w:rPr>
      </w:pPr>
      <w:r w:rsidRPr="00112959">
        <w:rPr>
          <w:rFonts w:ascii="Calibri" w:hAnsi="Calibri" w:cs="Calibri"/>
          <w:b/>
          <w:bCs/>
        </w:rPr>
        <w:t>CMS Flicker Experiment — Data Analysis Pipeline</w:t>
      </w:r>
    </w:p>
    <w:p w14:paraId="28D40082" w14:textId="77777777" w:rsidR="00112959" w:rsidRPr="00112959" w:rsidRDefault="00112959" w:rsidP="00112959">
      <w:pPr>
        <w:rPr>
          <w:rFonts w:ascii="Calibri" w:hAnsi="Calibri" w:cs="Calibri"/>
        </w:rPr>
      </w:pPr>
      <w:r w:rsidRPr="00112959">
        <w:rPr>
          <w:rFonts w:ascii="Calibri" w:hAnsi="Calibri" w:cs="Calibri"/>
          <w:b/>
          <w:bCs/>
        </w:rPr>
        <w:t>Step 1: Environment Setup (00_setup.R)</w:t>
      </w:r>
      <w:r w:rsidRPr="00112959">
        <w:rPr>
          <w:rFonts w:ascii="Calibri" w:hAnsi="Calibri" w:cs="Calibri"/>
        </w:rPr>
        <w:t xml:space="preserve"> Installs required packages, sets the random seed, and defines shared output paths used by all subsequent scripts.</w:t>
      </w:r>
    </w:p>
    <w:p w14:paraId="6824319F" w14:textId="77777777" w:rsidR="00112959" w:rsidRPr="00112959" w:rsidRDefault="00112959" w:rsidP="00112959">
      <w:pPr>
        <w:rPr>
          <w:rFonts w:ascii="Calibri" w:hAnsi="Calibri" w:cs="Calibri"/>
        </w:rPr>
      </w:pPr>
      <w:r w:rsidRPr="00112959">
        <w:rPr>
          <w:rFonts w:ascii="Calibri" w:hAnsi="Calibri" w:cs="Calibri"/>
          <w:b/>
          <w:bCs/>
        </w:rPr>
        <w:t>Step 2: Data Ingestion (01_ingest.R)</w:t>
      </w:r>
      <w:r w:rsidRPr="00112959">
        <w:rPr>
          <w:rFonts w:ascii="Calibri" w:hAnsi="Calibri" w:cs="Calibri"/>
        </w:rPr>
        <w:t xml:space="preserve"> Merges rating files (.</w:t>
      </w:r>
      <w:proofErr w:type="spellStart"/>
      <w:r w:rsidRPr="00112959">
        <w:rPr>
          <w:rFonts w:ascii="Calibri" w:hAnsi="Calibri" w:cs="Calibri"/>
        </w:rPr>
        <w:t>dat</w:t>
      </w:r>
      <w:proofErr w:type="spellEnd"/>
      <w:r w:rsidRPr="00112959">
        <w:rPr>
          <w:rFonts w:ascii="Calibri" w:hAnsi="Calibri" w:cs="Calibri"/>
        </w:rPr>
        <w:t xml:space="preserve">) and eye-tracking files (.xlsx) from all 25 participants into a single master dataset of 750 rows. Time-to-collision is computed as TTC = 19 − </w:t>
      </w:r>
      <w:proofErr w:type="spellStart"/>
      <w:r w:rsidRPr="00112959">
        <w:rPr>
          <w:rFonts w:ascii="Calibri" w:hAnsi="Calibri" w:cs="Calibri"/>
        </w:rPr>
        <w:t>paddle_time_s</w:t>
      </w:r>
      <w:proofErr w:type="spellEnd"/>
      <w:r w:rsidRPr="00112959">
        <w:rPr>
          <w:rFonts w:ascii="Calibri" w:hAnsi="Calibri" w:cs="Calibri"/>
        </w:rPr>
        <w:t>.</w:t>
      </w:r>
    </w:p>
    <w:p w14:paraId="4F909C05" w14:textId="77777777" w:rsidR="00112959" w:rsidRPr="00112959" w:rsidRDefault="00112959" w:rsidP="00112959">
      <w:pPr>
        <w:rPr>
          <w:rFonts w:ascii="Calibri" w:hAnsi="Calibri" w:cs="Calibri"/>
        </w:rPr>
      </w:pPr>
      <w:r w:rsidRPr="00112959">
        <w:rPr>
          <w:rFonts w:ascii="Calibri" w:hAnsi="Calibri" w:cs="Calibri"/>
          <w:b/>
          <w:bCs/>
        </w:rPr>
        <w:t>Step 3: Quality Flagging (02_flag.R)</w:t>
      </w:r>
      <w:r w:rsidRPr="00112959">
        <w:rPr>
          <w:rFonts w:ascii="Calibri" w:hAnsi="Calibri" w:cs="Calibri"/>
        </w:rPr>
        <w:t xml:space="preserve"> No rows are deleted. Seven TRUE/FALSE flag columns are appended to the master dataset: skipped trial, no response, missing rating, extreme TTC, low eye-tracking quality, P09 (no driving </w:t>
      </w:r>
      <w:proofErr w:type="spellStart"/>
      <w:r w:rsidRPr="00112959">
        <w:rPr>
          <w:rFonts w:ascii="Calibri" w:hAnsi="Calibri" w:cs="Calibri"/>
        </w:rPr>
        <w:t>licence</w:t>
      </w:r>
      <w:proofErr w:type="spellEnd"/>
      <w:r w:rsidRPr="00112959">
        <w:rPr>
          <w:rFonts w:ascii="Calibri" w:hAnsi="Calibri" w:cs="Calibri"/>
        </w:rPr>
        <w:t>), and P15 (</w:t>
      </w:r>
      <w:proofErr w:type="spellStart"/>
      <w:r w:rsidRPr="00112959">
        <w:rPr>
          <w:rFonts w:ascii="Calibri" w:hAnsi="Calibri" w:cs="Calibri"/>
        </w:rPr>
        <w:t>colour</w:t>
      </w:r>
      <w:proofErr w:type="spellEnd"/>
      <w:r w:rsidRPr="00112959">
        <w:rPr>
          <w:rFonts w:ascii="Calibri" w:hAnsi="Calibri" w:cs="Calibri"/>
        </w:rPr>
        <w:t>-blind).</w:t>
      </w:r>
    </w:p>
    <w:p w14:paraId="79BE3DEF" w14:textId="77777777" w:rsidR="00112959" w:rsidRPr="00112959" w:rsidRDefault="00112959" w:rsidP="00112959">
      <w:pPr>
        <w:rPr>
          <w:rFonts w:ascii="Calibri" w:hAnsi="Calibri" w:cs="Calibri"/>
        </w:rPr>
      </w:pPr>
      <w:r w:rsidRPr="00112959">
        <w:rPr>
          <w:rFonts w:ascii="Calibri" w:hAnsi="Calibri" w:cs="Calibri"/>
          <w:b/>
          <w:bCs/>
        </w:rPr>
        <w:t>Step 4: Descriptive Statistics (03_describe.R)</w:t>
      </w:r>
      <w:r w:rsidRPr="00112959">
        <w:rPr>
          <w:rFonts w:ascii="Calibri" w:hAnsi="Calibri" w:cs="Calibri"/>
        </w:rPr>
        <w:t xml:space="preserve"> Computes summary statistics (N, mean, SD, median, IQR) for all dependent variables across the 10 experimental conditions, together with participant background characteristics.</w:t>
      </w:r>
    </w:p>
    <w:p w14:paraId="125AFD07" w14:textId="77777777" w:rsidR="00112959" w:rsidRPr="00112959" w:rsidRDefault="00112959" w:rsidP="00112959">
      <w:pPr>
        <w:rPr>
          <w:rFonts w:ascii="Calibri" w:hAnsi="Calibri" w:cs="Calibri"/>
        </w:rPr>
      </w:pPr>
      <w:r w:rsidRPr="00112959">
        <w:rPr>
          <w:rFonts w:ascii="Calibri" w:hAnsi="Calibri" w:cs="Calibri"/>
          <w:b/>
          <w:bCs/>
        </w:rPr>
        <w:t>Step 5: ANOVA Assumption Checks (04_assumptions.R)</w:t>
      </w:r>
      <w:r w:rsidRPr="00112959">
        <w:rPr>
          <w:rFonts w:ascii="Calibri" w:hAnsi="Calibri" w:cs="Calibri"/>
        </w:rPr>
        <w:t xml:space="preserve"> Three diagnostic tests are run prior to formal analysis: normality (Shapiro–Wilk), sphericity (Mauchly; violations trigger automatic Greenhouse–Geisser correction in all subsequent ANOVAs), and extreme outlier detection (IQR × 3). Diagnostic plots include QQ plots, annotated boxplots, and residual diagnostic figures.</w:t>
      </w:r>
    </w:p>
    <w:p w14:paraId="47A9AB1E" w14:textId="77777777" w:rsidR="00112959" w:rsidRPr="00112959" w:rsidRDefault="00112959" w:rsidP="00112959">
      <w:pPr>
        <w:rPr>
          <w:rFonts w:ascii="Calibri" w:hAnsi="Calibri" w:cs="Calibri"/>
        </w:rPr>
      </w:pPr>
      <w:r w:rsidRPr="00112959">
        <w:rPr>
          <w:rFonts w:ascii="Calibri" w:hAnsi="Calibri" w:cs="Calibri"/>
          <w:b/>
          <w:bCs/>
        </w:rPr>
        <w:t>Step 6: Core Statistical Analyses (Scripts 05–08)</w:t>
      </w:r>
    </w:p>
    <w:p w14:paraId="531672DE" w14:textId="77777777" w:rsidR="00112959" w:rsidRPr="00112959" w:rsidRDefault="00112959" w:rsidP="00112959">
      <w:pPr>
        <w:rPr>
          <w:rFonts w:ascii="Calibri" w:hAnsi="Calibri" w:cs="Calibri"/>
        </w:rPr>
      </w:pPr>
      <w:r w:rsidRPr="00112959">
        <w:rPr>
          <w:rFonts w:ascii="Calibri" w:hAnsi="Calibri" w:cs="Calibri"/>
        </w:rPr>
        <w:lastRenderedPageBreak/>
        <w:t>All four modules share a two-step analytical structure:</w:t>
      </w:r>
    </w:p>
    <w:p w14:paraId="1F4187BE" w14:textId="210F98B5" w:rsidR="00112959" w:rsidRPr="00112959" w:rsidRDefault="00112959" w:rsidP="00112959">
      <w:pPr>
        <w:rPr>
          <w:rFonts w:ascii="Calibri" w:hAnsi="Calibri" w:cs="Calibri"/>
        </w:rPr>
      </w:pPr>
      <w:r w:rsidRPr="00112959">
        <w:rPr>
          <w:rFonts w:ascii="Calibri" w:hAnsi="Calibri" w:cs="Calibri"/>
          <w:b/>
          <w:bCs/>
        </w:rPr>
        <w:t>1</w:t>
      </w:r>
      <w:r w:rsidRPr="00112959">
        <w:rPr>
          <w:rFonts w:ascii="Calibri" w:hAnsi="Calibri" w:cs="Calibri"/>
        </w:rPr>
        <w:t xml:space="preserve"> — One-way repeated-measures ANOVA across all four frequency levels (0 / 8.33 / 12.5 / 25 Hz), with modulation depth and scene averaged out, to examine the overall frequency effect including the stable baseline.</w:t>
      </w:r>
    </w:p>
    <w:p w14:paraId="4B0F3275" w14:textId="6E62284D" w:rsidR="00112959" w:rsidRDefault="00112959" w:rsidP="00112959">
      <w:pPr>
        <w:rPr>
          <w:rFonts w:ascii="Calibri" w:hAnsi="Calibri" w:cs="Calibri"/>
        </w:rPr>
      </w:pPr>
      <w:r w:rsidRPr="00112959">
        <w:rPr>
          <w:rFonts w:ascii="Calibri" w:hAnsi="Calibri" w:cs="Calibri"/>
          <w:b/>
          <w:bCs/>
        </w:rPr>
        <w:t>2</w:t>
      </w:r>
      <w:r w:rsidRPr="00112959">
        <w:rPr>
          <w:rFonts w:ascii="Calibri" w:hAnsi="Calibri" w:cs="Calibri"/>
        </w:rPr>
        <w:t xml:space="preserve"> — Two-way repeated-measures ANOVA restricted to the three flickering conditions, in a 3 (frequency) × 3 (modulation depth) design, to examine frequency effects, depth effects, and their interaction within flickering conditions.</w:t>
      </w:r>
    </w:p>
    <w:p w14:paraId="2FEEDC4A" w14:textId="388114FE" w:rsidR="00112959" w:rsidRPr="00112959" w:rsidRDefault="00112959" w:rsidP="00112959">
      <w:pPr>
        <w:rPr>
          <w:rFonts w:ascii="Calibri" w:hAnsi="Calibri" w:cs="Calibri"/>
        </w:rPr>
      </w:pPr>
      <w:r>
        <w:rPr>
          <w:noProof/>
        </w:rPr>
        <w:drawing>
          <wp:inline distT="0" distB="0" distL="0" distR="0" wp14:anchorId="7747485F" wp14:editId="2A50E432">
            <wp:extent cx="5274310" cy="3671570"/>
            <wp:effectExtent l="0" t="0" r="2540" b="5080"/>
            <wp:docPr id="161377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72618" name=""/>
                    <pic:cNvPicPr/>
                  </pic:nvPicPr>
                  <pic:blipFill>
                    <a:blip r:embed="rId7"/>
                    <a:stretch>
                      <a:fillRect/>
                    </a:stretch>
                  </pic:blipFill>
                  <pic:spPr>
                    <a:xfrm>
                      <a:off x="0" y="0"/>
                      <a:ext cx="5274310" cy="3671570"/>
                    </a:xfrm>
                    <a:prstGeom prst="rect">
                      <a:avLst/>
                    </a:prstGeom>
                  </pic:spPr>
                </pic:pic>
              </a:graphicData>
            </a:graphic>
          </wp:inline>
        </w:drawing>
      </w:r>
    </w:p>
    <w:p w14:paraId="3BD603C9" w14:textId="62B409F5" w:rsidR="00112959" w:rsidRPr="00112959" w:rsidRDefault="00112959" w:rsidP="00112959">
      <w:pPr>
        <w:rPr>
          <w:rFonts w:ascii="Calibri" w:hAnsi="Calibri" w:cs="Calibri"/>
        </w:rPr>
      </w:pPr>
      <w:r w:rsidRPr="00112959">
        <w:rPr>
          <w:rFonts w:ascii="Calibri" w:hAnsi="Calibri" w:cs="Calibri"/>
          <w:b/>
          <w:bCs/>
        </w:rPr>
        <w:t xml:space="preserve"> </w:t>
      </w:r>
      <w:r w:rsidRPr="00112959">
        <w:rPr>
          <w:rFonts w:ascii="Calibri" w:hAnsi="Calibri" w:cs="Calibri"/>
          <w:b/>
          <w:bCs/>
        </w:rPr>
        <w:t>Step 7: Sensitivity Analyses (09_sensitivity.R)</w:t>
      </w:r>
      <w:r w:rsidRPr="00112959">
        <w:rPr>
          <w:rFonts w:ascii="Calibri" w:hAnsi="Calibri" w:cs="Calibri"/>
        </w:rPr>
        <w:t xml:space="preserve"> Five checks are applied to verify the robustness of the primary conclusions: exclusion of P09 (no driving </w:t>
      </w:r>
      <w:proofErr w:type="spellStart"/>
      <w:r w:rsidRPr="00112959">
        <w:rPr>
          <w:rFonts w:ascii="Calibri" w:hAnsi="Calibri" w:cs="Calibri"/>
        </w:rPr>
        <w:t>licence</w:t>
      </w:r>
      <w:proofErr w:type="spellEnd"/>
      <w:r w:rsidRPr="00112959">
        <w:rPr>
          <w:rFonts w:ascii="Calibri" w:hAnsi="Calibri" w:cs="Calibri"/>
        </w:rPr>
        <w:t>), exclusion of P15 (</w:t>
      </w:r>
      <w:proofErr w:type="spellStart"/>
      <w:r w:rsidRPr="00112959">
        <w:rPr>
          <w:rFonts w:ascii="Calibri" w:hAnsi="Calibri" w:cs="Calibri"/>
        </w:rPr>
        <w:t>colour</w:t>
      </w:r>
      <w:proofErr w:type="spellEnd"/>
      <w:r w:rsidRPr="00112959">
        <w:rPr>
          <w:rFonts w:ascii="Calibri" w:hAnsi="Calibri" w:cs="Calibri"/>
        </w:rPr>
        <w:t>-blind), complete-cases only (excluding P03 and P11 with missing trials), high-quality eye-tracking subsample only, and removal of trials with TTC beyond ±2.5 SD of each participant's own mean. All checks converge with the primary analysis; effect sizes are in fact larger after extreme-value exclusion.</w:t>
      </w:r>
    </w:p>
    <w:p w14:paraId="1C5C1CF9" w14:textId="77777777" w:rsidR="00112959" w:rsidRPr="00112959" w:rsidRDefault="00112959" w:rsidP="00112959">
      <w:pPr>
        <w:rPr>
          <w:rFonts w:ascii="Calibri" w:hAnsi="Calibri" w:cs="Calibri"/>
        </w:rPr>
      </w:pPr>
      <w:r w:rsidRPr="00112959">
        <w:rPr>
          <w:rFonts w:ascii="Calibri" w:hAnsi="Calibri" w:cs="Calibri"/>
          <w:b/>
          <w:bCs/>
        </w:rPr>
        <w:t>Step 8: Road Scene Analysis (11_scene_anova.R)</w:t>
      </w:r>
      <w:r w:rsidRPr="00112959">
        <w:rPr>
          <w:rFonts w:ascii="Calibri" w:hAnsi="Calibri" w:cs="Calibri"/>
        </w:rPr>
        <w:t xml:space="preserve"> The effect of road scene (A / B / C) on TTC is examined using three models: two RM-ANOVAs (frequency × scene; depth × scene) and one LMM (frequency × depth × scene with a by-participant random intercept). The scene main effect is significant (F(1.97, 47.28) = 6.44, p = .004, η²p = .212); post-hoc Bonferroni comparisons show that scene A produced significantly longer TTC than scene C (Δ = 0.45 s, p = .003), while the A–B and B–C contrasts are non-significant. The LMM is used for the trial-level model because missing cells for P03/P11 in the 8.33 Hz / 60% / scene C condition make </w:t>
      </w:r>
      <w:r w:rsidRPr="00112959">
        <w:rPr>
          <w:rFonts w:ascii="Calibri" w:hAnsi="Calibri" w:cs="Calibri"/>
        </w:rPr>
        <w:lastRenderedPageBreak/>
        <w:t>a balanced RM-ANOVA untenable.</w:t>
      </w:r>
    </w:p>
    <w:p w14:paraId="14D045F7" w14:textId="77777777" w:rsidR="00112959" w:rsidRPr="00112959" w:rsidRDefault="00112959" w:rsidP="00112959">
      <w:pPr>
        <w:rPr>
          <w:rFonts w:ascii="Calibri" w:hAnsi="Calibri" w:cs="Calibri"/>
        </w:rPr>
      </w:pPr>
      <w:r w:rsidRPr="00112959">
        <w:rPr>
          <w:rFonts w:ascii="Calibri" w:hAnsi="Calibri" w:cs="Calibri"/>
          <w:b/>
          <w:bCs/>
        </w:rPr>
        <w:t>Step 9: Covariate Analysis (12_ancova_covariates.R)</w:t>
      </w:r>
      <w:r w:rsidRPr="00112959">
        <w:rPr>
          <w:rFonts w:ascii="Calibri" w:hAnsi="Calibri" w:cs="Calibri"/>
        </w:rPr>
        <w:t xml:space="preserve"> Two individual-difference covariates — driving confidence (</w:t>
      </w:r>
      <w:proofErr w:type="spellStart"/>
      <w:r w:rsidRPr="00112959">
        <w:rPr>
          <w:rFonts w:ascii="Calibri" w:hAnsi="Calibri" w:cs="Calibri"/>
        </w:rPr>
        <w:t>exp_confidence</w:t>
      </w:r>
      <w:proofErr w:type="spellEnd"/>
      <w:r w:rsidRPr="00112959">
        <w:rPr>
          <w:rFonts w:ascii="Calibri" w:hAnsi="Calibri" w:cs="Calibri"/>
        </w:rPr>
        <w:t>) and driving style (</w:t>
      </w:r>
      <w:proofErr w:type="spellStart"/>
      <w:r w:rsidRPr="00112959">
        <w:rPr>
          <w:rFonts w:ascii="Calibri" w:hAnsi="Calibri" w:cs="Calibri"/>
        </w:rPr>
        <w:t>driving_style</w:t>
      </w:r>
      <w:proofErr w:type="spellEnd"/>
      <w:r w:rsidRPr="00112959">
        <w:rPr>
          <w:rFonts w:ascii="Calibri" w:hAnsi="Calibri" w:cs="Calibri"/>
        </w:rPr>
        <w:t>) — are tested for their ability to explain TTC variance through a three-level analysis: between-subjects regression, LMM model comparison (likelihood-ratio tests), and moderation tests. All levels converge on the same conclusion: neither covariate significantly improves model fit. This is explained by the between-subjects ICC of 0.942, indicating that 94.2% of TTC variance reflects stable individual differences; the two covariates account for only approximately 1.9% of this between-subject variance.</w:t>
      </w:r>
    </w:p>
    <w:p w14:paraId="1518CF7A" w14:textId="77777777" w:rsidR="00112959" w:rsidRPr="00112959" w:rsidRDefault="00112959" w:rsidP="00112959">
      <w:pPr>
        <w:rPr>
          <w:rFonts w:ascii="Calibri" w:hAnsi="Calibri" w:cs="Calibri"/>
        </w:rPr>
      </w:pPr>
      <w:r w:rsidRPr="00112959">
        <w:rPr>
          <w:rFonts w:ascii="Calibri" w:hAnsi="Calibri" w:cs="Calibri"/>
          <w:b/>
          <w:bCs/>
        </w:rPr>
        <w:t>Step 10: Post-Experiment Questionnaire (13_post_survey_descriptives.R)</w:t>
      </w:r>
      <w:r w:rsidRPr="00112959">
        <w:rPr>
          <w:rFonts w:ascii="Calibri" w:hAnsi="Calibri" w:cs="Calibri"/>
        </w:rPr>
        <w:t xml:space="preserve"> Descriptive statistics are computed for the nine post-session questionnaire items covering: lane-change difficulty, mental demand, effort, CMS motion clarity, flicker interference, visual discomfort, decision confidence, flicker noticeability, and flicker influence on decisions. As the questionnaire was administered once at the end of the session rather than within a repeated-measures design, inferential statistics are not applicable and analyses are descriptive only.</w:t>
      </w:r>
    </w:p>
    <w:p w14:paraId="2C0B7352" w14:textId="77777777" w:rsidR="00112959" w:rsidRPr="000F473F" w:rsidRDefault="00112959" w:rsidP="000F473F">
      <w:pPr>
        <w:rPr>
          <w:rFonts w:ascii="Calibri" w:hAnsi="Calibri" w:cs="Calibri" w:hint="eastAsia"/>
        </w:rPr>
      </w:pPr>
    </w:p>
    <w:p w14:paraId="62495562" w14:textId="77777777" w:rsidR="000F473F" w:rsidRPr="000F473F" w:rsidRDefault="000F473F" w:rsidP="000F473F">
      <w:pPr>
        <w:rPr>
          <w:rFonts w:ascii="Calibri" w:hAnsi="Calibri" w:cs="Calibri"/>
        </w:rPr>
      </w:pPr>
      <w:r w:rsidRPr="000F473F">
        <w:rPr>
          <w:rFonts w:ascii="Calibri" w:hAnsi="Calibri" w:cs="Calibri"/>
          <w:b/>
          <w:bCs/>
        </w:rPr>
        <w:t>Key Statistical Results</w:t>
      </w:r>
    </w:p>
    <w:p w14:paraId="325D7768" w14:textId="77777777" w:rsidR="000F473F" w:rsidRPr="000F473F" w:rsidRDefault="000F473F" w:rsidP="000F473F">
      <w:pPr>
        <w:rPr>
          <w:rFonts w:ascii="Calibri" w:hAnsi="Calibri" w:cs="Calibri"/>
        </w:rPr>
      </w:pPr>
      <w:r w:rsidRPr="000F473F">
        <w:rPr>
          <w:rFonts w:ascii="Calibri" w:hAnsi="Calibri" w:cs="Calibri"/>
          <w:b/>
          <w:bCs/>
        </w:rPr>
        <w:t>1. TTC (Time-to-Collision) — Behavioral Measure</w:t>
      </w:r>
    </w:p>
    <w:p w14:paraId="46BA8C59" w14:textId="77777777" w:rsidR="000F473F" w:rsidRPr="000F473F" w:rsidRDefault="000F473F" w:rsidP="000F473F">
      <w:pPr>
        <w:rPr>
          <w:rFonts w:ascii="Calibri" w:hAnsi="Calibri" w:cs="Calibri"/>
        </w:rPr>
      </w:pPr>
      <w:r w:rsidRPr="000F473F">
        <w:rPr>
          <w:rFonts w:ascii="Calibri" w:hAnsi="Calibri" w:cs="Calibri"/>
        </w:rPr>
        <w:t>Step 1 (4-level frequency): The overall effect was significant, F = 5.09, p = .012, medium effect size (η²_p = .175), SOLID. However, all planned contrasts of individual frequencies vs. 0 Hz were non-significant after Holm correction — this reflects insufficient per-contrast power at N = 25 rather than a true null effect.</w:t>
      </w:r>
    </w:p>
    <w:p w14:paraId="7DA71BAE" w14:textId="77777777" w:rsidR="000F473F" w:rsidRPr="000F473F" w:rsidRDefault="000F473F" w:rsidP="000F473F">
      <w:pPr>
        <w:rPr>
          <w:rFonts w:ascii="Calibri" w:hAnsi="Calibri" w:cs="Calibri"/>
        </w:rPr>
      </w:pPr>
      <w:r w:rsidRPr="000F473F">
        <w:rPr>
          <w:rFonts w:ascii="Calibri" w:hAnsi="Calibri" w:cs="Calibri"/>
        </w:rPr>
        <w:t>Step 2 (flickering conditions only): The frequency effect was highly significant, F = 16.09, p &lt; .001, large effect size (η²_p = .401). Key findings: 25 Hz produced longer TTC (M = 4.73 s), indicating more conservative responding; 8.33 Hz and 12.5 Hz produced shorter TTC (M ≈ 4.3 s); the modulation depth effect was marginal (p = .086) with a confidence interval spanning zero, warranting caution; the frequency × depth interaction was a reliable null.</w:t>
      </w:r>
    </w:p>
    <w:p w14:paraId="0EDDCAE4" w14:textId="0815C316" w:rsidR="000F473F" w:rsidRPr="000F473F" w:rsidRDefault="000F473F" w:rsidP="000F473F">
      <w:pPr>
        <w:rPr>
          <w:rFonts w:ascii="Calibri" w:hAnsi="Calibri" w:cs="Calibri"/>
        </w:rPr>
      </w:pPr>
      <w:r w:rsidRPr="000F473F">
        <w:rPr>
          <w:rFonts w:ascii="Calibri" w:hAnsi="Calibri" w:cs="Calibri"/>
        </w:rPr>
        <w:t>This is opposite to the direction predicted by H1: the hypothesis expected 12.5 Hz to show the largest deviation, whereas 25 Hz produced the most conservative behavior.</w:t>
      </w:r>
    </w:p>
    <w:p w14:paraId="6DBD36DC" w14:textId="77777777" w:rsidR="000F473F" w:rsidRPr="000F473F" w:rsidRDefault="000F473F" w:rsidP="000F473F">
      <w:pPr>
        <w:rPr>
          <w:rFonts w:ascii="Calibri" w:hAnsi="Calibri" w:cs="Calibri"/>
        </w:rPr>
      </w:pPr>
      <w:r w:rsidRPr="000F473F">
        <w:rPr>
          <w:rFonts w:ascii="Calibri" w:hAnsi="Calibri" w:cs="Calibri"/>
          <w:b/>
          <w:bCs/>
        </w:rPr>
        <w:t>2. Subjective Ratings (Q1 Visual Comfort / Q2 Mental Demand / Q3 Effort / Q4 Decision Certainty + Cognitive Load)</w:t>
      </w:r>
    </w:p>
    <w:p w14:paraId="0EEE924E" w14:textId="77777777" w:rsidR="000F473F" w:rsidRPr="000F473F" w:rsidRDefault="000F473F" w:rsidP="000F473F">
      <w:pPr>
        <w:rPr>
          <w:rFonts w:ascii="Calibri" w:hAnsi="Calibri" w:cs="Calibri"/>
        </w:rPr>
      </w:pPr>
      <w:r w:rsidRPr="000F473F">
        <w:rPr>
          <w:rFonts w:ascii="Calibri" w:hAnsi="Calibri" w:cs="Calibri"/>
        </w:rPr>
        <w:t xml:space="preserve">Both frequency and depth effects were significant across all subjective dimensions, with large effect sizes. Depth effects dominated, with η²_p reaching .319–.767 (large), especially </w:t>
      </w:r>
      <w:r w:rsidRPr="000F473F">
        <w:rPr>
          <w:rFonts w:ascii="Calibri" w:hAnsi="Calibri" w:cs="Calibri"/>
        </w:rPr>
        <w:lastRenderedPageBreak/>
        <w:t>for visual discomfort (Q1). All flickering frequencies reduced visual comfort relative to 0 Hz (all p &lt; .001), confirming the directional prediction of H1. No frequency × depth interaction was found for any measure (all p &gt; .18), disconfirming H3. All findings are SOLID.</w:t>
      </w:r>
    </w:p>
    <w:p w14:paraId="716F81E4" w14:textId="77777777" w:rsidR="000F473F" w:rsidRPr="000F473F" w:rsidRDefault="000F473F" w:rsidP="000F473F">
      <w:pPr>
        <w:rPr>
          <w:rFonts w:ascii="Calibri" w:hAnsi="Calibri" w:cs="Calibri"/>
        </w:rPr>
      </w:pPr>
      <w:r w:rsidRPr="000F473F">
        <w:rPr>
          <w:rFonts w:ascii="Calibri" w:hAnsi="Calibri" w:cs="Calibri"/>
          <w:b/>
          <w:bCs/>
        </w:rPr>
        <w:t>3. Eye-Tracking Metrics (7 metrics)</w:t>
      </w:r>
    </w:p>
    <w:p w14:paraId="5DD6F393" w14:textId="77777777" w:rsidR="000F473F" w:rsidRPr="000F473F" w:rsidRDefault="000F473F" w:rsidP="000F473F">
      <w:pPr>
        <w:rPr>
          <w:rFonts w:ascii="Calibri" w:hAnsi="Calibri" w:cs="Calibri"/>
        </w:rPr>
      </w:pPr>
      <w:r w:rsidRPr="000F473F">
        <w:rPr>
          <w:rFonts w:ascii="Calibri" w:hAnsi="Calibri" w:cs="Calibri"/>
        </w:rPr>
        <w:t>Flicker frequency had no detectable effect on any of the 7 gaze metrics (p = .157–.902) — participants did not redistribute visual attention in response to frequency changes. Modulation depth showed small-to-medium effects on CMS dwell ratio and dwell time, but effect-size confidence intervals were very wide and included zero, making these findings exploratory. H2 (visual search effort increases with frequency and depth) is not supported by eye-tracking data. Subjective ratings showed large cognitive load increases, but gaze behavior did not mirror them — a notable dissociation between subjective and behavioral channels.</w:t>
      </w:r>
    </w:p>
    <w:p w14:paraId="1A4B3009" w14:textId="77777777" w:rsidR="000F473F" w:rsidRPr="000F473F" w:rsidRDefault="000F473F" w:rsidP="000F473F">
      <w:pPr>
        <w:rPr>
          <w:rFonts w:ascii="Calibri" w:hAnsi="Calibri" w:cs="Calibri"/>
        </w:rPr>
      </w:pPr>
      <w:r w:rsidRPr="000F473F">
        <w:rPr>
          <w:rFonts w:ascii="Calibri" w:hAnsi="Calibri" w:cs="Calibri"/>
          <w:b/>
          <w:bCs/>
        </w:rPr>
        <w:t>4. Simulator Sickness (SSQ)</w:t>
      </w:r>
    </w:p>
    <w:p w14:paraId="517E96BF" w14:textId="77777777" w:rsidR="000F473F" w:rsidRPr="000F473F" w:rsidRDefault="000F473F" w:rsidP="000F473F">
      <w:pPr>
        <w:rPr>
          <w:rFonts w:ascii="Calibri" w:hAnsi="Calibri" w:cs="Calibri"/>
        </w:rPr>
      </w:pPr>
      <w:r w:rsidRPr="000F473F">
        <w:rPr>
          <w:rFonts w:ascii="Calibri" w:hAnsi="Calibri" w:cs="Calibri"/>
        </w:rPr>
        <w:t>Oculomotor symptoms (Δ) and total severity (Δ) both increased significantly, Cohen's d ≈ 0.61–0.63 (medium effect), SOLID. The nausea subscale was borderline significant (t p = .050; Wilcoxon p = .059) and should not be over-interpreted. As convergent validity evidence, visual comfort ratings (Q1) correlated significantly with SSQ increases (ρ = −0.54 to −0.56), indicating that the subjective discomfort ratings captured a real physiological response.</w:t>
      </w:r>
    </w:p>
    <w:p w14:paraId="0069F030" w14:textId="77777777" w:rsidR="000F473F" w:rsidRPr="000F473F" w:rsidRDefault="000F473F" w:rsidP="000F473F">
      <w:pPr>
        <w:rPr>
          <w:rFonts w:ascii="Calibri" w:hAnsi="Calibri" w:cs="Calibri"/>
        </w:rPr>
      </w:pPr>
      <w:r w:rsidRPr="000F473F">
        <w:rPr>
          <w:rFonts w:ascii="Calibri" w:hAnsi="Calibri" w:cs="Calibri"/>
          <w:b/>
          <w:bCs/>
        </w:rPr>
        <w:t>5. Post-Experiment Questionnaire (N = 25, descriptive)</w:t>
      </w:r>
    </w:p>
    <w:p w14:paraId="7B3009E5" w14:textId="77777777" w:rsidR="000F473F" w:rsidRPr="000F473F" w:rsidRDefault="000F473F" w:rsidP="000F473F">
      <w:pPr>
        <w:rPr>
          <w:rFonts w:ascii="Calibri" w:hAnsi="Calibri" w:cs="Calibri"/>
        </w:rPr>
      </w:pPr>
      <w:r w:rsidRPr="000F473F">
        <w:rPr>
          <w:rFonts w:ascii="Calibri" w:hAnsi="Calibri" w:cs="Calibri"/>
        </w:rPr>
        <w:t>Flicker was highly salient and disruptive: Q8 (68% "very/extremely noticeable") and Q5 (64% "strongly" or above) confirm the manipulation was clearly perceived. A confidence–difficulty dissociation was observed: 68% of participants found the task difficult (Q1), yet 76% reported feeling at least somewhat confident (Q7). CMS motion remained interpretable despite flickering: Q4 median = "somewhat clear," though participants rated the task as effortful (Q2, Q3 both median = "moderate"). Convergent validity: Q2, Q3, and Q6 are consistent with the large within-subject effects for subjective DVs; Q9 (52% reporting flicker "strongly or significantly" influenced their decisions) supports ecological relevance.</w:t>
      </w:r>
    </w:p>
    <w:p w14:paraId="7CF899B0" w14:textId="77777777" w:rsidR="000F473F" w:rsidRPr="000F473F" w:rsidRDefault="000F473F" w:rsidP="000F473F">
      <w:pPr>
        <w:rPr>
          <w:rFonts w:ascii="Calibri" w:hAnsi="Calibri" w:cs="Calibri"/>
        </w:rPr>
      </w:pPr>
      <w:r w:rsidRPr="000F473F">
        <w:rPr>
          <w:rFonts w:ascii="Calibri" w:hAnsi="Calibri" w:cs="Calibri"/>
          <w:b/>
          <w:bCs/>
        </w:rPr>
        <w:t>6. Individual Differences Covariates (ANCOVA)</w:t>
      </w:r>
    </w:p>
    <w:p w14:paraId="20AB2D7B" w14:textId="37A1A216" w:rsidR="000F473F" w:rsidRPr="000F473F" w:rsidRDefault="000F473F" w:rsidP="000F473F">
      <w:pPr>
        <w:rPr>
          <w:rFonts w:ascii="Calibri" w:hAnsi="Calibri" w:cs="Calibri" w:hint="eastAsia"/>
        </w:rPr>
      </w:pPr>
      <w:r w:rsidRPr="000F473F">
        <w:rPr>
          <w:rFonts w:ascii="Calibri" w:hAnsi="Calibri" w:cs="Calibri"/>
        </w:rPr>
        <w:t>Neither driving confidence nor driving style had a significant effect on TTC (both p &gt; .60). The between-subject ICC = 0.942 is a critically important finding: 94.2% of TTC variance is attributable to stable individual differences rather than experimental manipulations. This indicates that individual perceptual sensitivity or idiosyncratic risk thresholds overwhelmingly dominate behavioral outcomes, and warrants dedicated discussion in the paper.</w:t>
      </w:r>
    </w:p>
    <w:p w14:paraId="61FC9143" w14:textId="77777777" w:rsidR="000F473F" w:rsidRPr="000F473F" w:rsidRDefault="000F473F" w:rsidP="000F473F">
      <w:pPr>
        <w:rPr>
          <w:rFonts w:ascii="Calibri" w:hAnsi="Calibri" w:cs="Calibri"/>
        </w:rPr>
      </w:pPr>
      <w:r w:rsidRPr="000F473F">
        <w:rPr>
          <w:rFonts w:ascii="Calibri" w:hAnsi="Calibri" w:cs="Calibri"/>
          <w:b/>
          <w:bCs/>
        </w:rPr>
        <w:lastRenderedPageBreak/>
        <w:t>Hypothesis Verdict Summary</w:t>
      </w:r>
    </w:p>
    <w:p w14:paraId="315D9F6B" w14:textId="77777777" w:rsidR="000F473F" w:rsidRPr="000F473F" w:rsidRDefault="000F473F" w:rsidP="000F473F">
      <w:pPr>
        <w:rPr>
          <w:rFonts w:ascii="Calibri" w:hAnsi="Calibri" w:cs="Calibri"/>
        </w:rPr>
      </w:pPr>
      <w:r w:rsidRPr="000F473F">
        <w:rPr>
          <w:rFonts w:ascii="Calibri" w:hAnsi="Calibri" w:cs="Calibri"/>
        </w:rPr>
        <w:t>H1 (flicker reduces TTC / increases risk-taking; 12.5 Hz deviates most): Partially supported — the subjective discomfort component is fully confirmed with large effects, but the TTC direction is opposite to predictions (25 Hz produced longer, not shorter, TTC), and no individual frequency contrast reached significance.</w:t>
      </w:r>
    </w:p>
    <w:p w14:paraId="6FB98ACF" w14:textId="77777777" w:rsidR="000F473F" w:rsidRPr="000F473F" w:rsidRDefault="000F473F" w:rsidP="000F473F">
      <w:pPr>
        <w:rPr>
          <w:rFonts w:ascii="Calibri" w:hAnsi="Calibri" w:cs="Calibri"/>
        </w:rPr>
      </w:pPr>
      <w:r w:rsidRPr="000F473F">
        <w:rPr>
          <w:rFonts w:ascii="Calibri" w:hAnsi="Calibri" w:cs="Calibri"/>
        </w:rPr>
        <w:t>H2 (frequency + depth increase visual search effort and cognitive load): Partially supported — subjective ratings and self-report measures converge in support, but objective gaze behavior shows no frequency effect, constituting a subjective–behavioral dissociation.</w:t>
      </w:r>
    </w:p>
    <w:p w14:paraId="29FA881A" w14:textId="325E6A57" w:rsidR="000F473F" w:rsidRPr="000F473F" w:rsidRDefault="000F473F" w:rsidP="000F473F">
      <w:pPr>
        <w:rPr>
          <w:rFonts w:ascii="Calibri" w:hAnsi="Calibri" w:cs="Calibri" w:hint="eastAsia"/>
        </w:rPr>
      </w:pPr>
      <w:r w:rsidRPr="000F473F">
        <w:rPr>
          <w:rFonts w:ascii="Calibri" w:hAnsi="Calibri" w:cs="Calibri"/>
        </w:rPr>
        <w:t>H3 (frequency × depth interaction): Not supported — a clean null across all DVs, replicated consistently across all robustness checks.</w:t>
      </w:r>
    </w:p>
    <w:p w14:paraId="0B440F3C" w14:textId="77777777" w:rsidR="000F473F" w:rsidRPr="000F473F" w:rsidRDefault="000F473F" w:rsidP="000F473F">
      <w:pPr>
        <w:rPr>
          <w:rFonts w:ascii="Calibri" w:hAnsi="Calibri" w:cs="Calibri"/>
        </w:rPr>
      </w:pPr>
      <w:r w:rsidRPr="000F473F">
        <w:rPr>
          <w:rFonts w:ascii="Calibri" w:hAnsi="Calibri" w:cs="Calibri"/>
          <w:b/>
          <w:bCs/>
        </w:rPr>
        <w:t>Warnings and Limitations</w:t>
      </w:r>
    </w:p>
    <w:p w14:paraId="4D0936B4" w14:textId="77777777" w:rsidR="000F473F" w:rsidRPr="000F473F" w:rsidRDefault="000F473F" w:rsidP="000F473F">
      <w:pPr>
        <w:rPr>
          <w:rFonts w:ascii="Calibri" w:hAnsi="Calibri" w:cs="Calibri"/>
        </w:rPr>
      </w:pPr>
      <w:r w:rsidRPr="000F473F">
        <w:rPr>
          <w:rFonts w:ascii="Calibri" w:hAnsi="Calibri" w:cs="Calibri"/>
        </w:rPr>
        <w:t xml:space="preserve">Sphericity violations: Detected for most DVs in Step 1 (Mauchly p &lt; .001); Greenhouse–Geisser correction applied throughout. Sample size (N = 25): Per-contrast power is approximately 0.60 at medium effect size after Holm correction, resulting in non-significant individual planned contrasts despite a significant omnibus F. Multiple comparison scope: Holm correction was applied within each DV family but not across the 14+ DVs tested; eye-tracking depth effects (p = .025–.046) should be treated as exploratory in the familywise context. Self-selection bias: Volunteer university students may be more accustomed to VR environments, limiting generalizability of absolute TTC values. Potential collider bias in ANCOVA: </w:t>
      </w:r>
      <w:proofErr w:type="spellStart"/>
      <w:r w:rsidRPr="000F473F">
        <w:rPr>
          <w:rFonts w:ascii="Calibri" w:hAnsi="Calibri" w:cs="Calibri"/>
        </w:rPr>
        <w:t>exp_confidence</w:t>
      </w:r>
      <w:proofErr w:type="spellEnd"/>
      <w:r w:rsidRPr="000F473F">
        <w:rPr>
          <w:rFonts w:ascii="Calibri" w:hAnsi="Calibri" w:cs="Calibri"/>
        </w:rPr>
        <w:t xml:space="preserve"> may plausibly be influenced by both the experimental conditions (frequency/depth) and TTC, making it a potential collider; LMM results should be treated as primary, with ANCOVA as a sensitivity check.</w:t>
      </w:r>
    </w:p>
    <w:p w14:paraId="43187AAF" w14:textId="77777777" w:rsidR="00452C77" w:rsidRDefault="00452C77">
      <w:pPr>
        <w:rPr>
          <w:rFonts w:ascii="Calibri" w:hAnsi="Calibri" w:cs="Calibri"/>
        </w:rPr>
      </w:pPr>
    </w:p>
    <w:p w14:paraId="5F8ADE87" w14:textId="77777777" w:rsidR="00B456B9" w:rsidRDefault="00B456B9">
      <w:pPr>
        <w:rPr>
          <w:rFonts w:ascii="Calibri" w:hAnsi="Calibri" w:cs="Calibri"/>
        </w:rPr>
      </w:pPr>
    </w:p>
    <w:p w14:paraId="3DA03EA7" w14:textId="77777777" w:rsidR="00B456B9" w:rsidRDefault="00B456B9">
      <w:pPr>
        <w:rPr>
          <w:rFonts w:ascii="Calibri" w:hAnsi="Calibri" w:cs="Calibri" w:hint="eastAsia"/>
        </w:rPr>
      </w:pPr>
    </w:p>
    <w:p w14:paraId="34C2235B" w14:textId="77777777" w:rsidR="00B456B9" w:rsidRPr="00B456B9" w:rsidRDefault="00B456B9" w:rsidP="00B456B9">
      <w:pPr>
        <w:rPr>
          <w:rFonts w:ascii="Calibri" w:hAnsi="Calibri" w:cs="Calibri"/>
          <w:b/>
          <w:bCs/>
        </w:rPr>
      </w:pPr>
      <w:r w:rsidRPr="00B456B9">
        <w:rPr>
          <w:rFonts w:ascii="Calibri" w:hAnsi="Calibri" w:cs="Calibri"/>
          <w:b/>
          <w:bCs/>
        </w:rPr>
        <w:t>Analysis of Post-Experimental Questionnaire (N = 25, Descriptive)</w:t>
      </w:r>
    </w:p>
    <w:p w14:paraId="16D31960" w14:textId="77777777" w:rsidR="00B456B9" w:rsidRPr="00B456B9" w:rsidRDefault="00B456B9" w:rsidP="00B456B9">
      <w:pPr>
        <w:rPr>
          <w:rFonts w:ascii="Calibri" w:hAnsi="Calibri" w:cs="Calibri"/>
          <w:b/>
          <w:bCs/>
        </w:rPr>
      </w:pPr>
      <w:r w:rsidRPr="00B456B9">
        <w:rPr>
          <w:rFonts w:ascii="Calibri" w:hAnsi="Calibri" w:cs="Calibri"/>
          <w:b/>
          <w:bCs/>
        </w:rPr>
        <w:t>1. Manipulation Check: Successful Perception of Flicker</w:t>
      </w:r>
    </w:p>
    <w:p w14:paraId="3B813E02" w14:textId="77777777" w:rsidR="00B456B9" w:rsidRPr="00B456B9" w:rsidRDefault="00B456B9" w:rsidP="00B456B9">
      <w:pPr>
        <w:rPr>
          <w:rFonts w:ascii="Calibri" w:hAnsi="Calibri" w:cs="Calibri"/>
        </w:rPr>
      </w:pPr>
      <w:r w:rsidRPr="00B456B9">
        <w:rPr>
          <w:rFonts w:ascii="Calibri" w:hAnsi="Calibri" w:cs="Calibri"/>
          <w:b/>
          <w:bCs/>
        </w:rPr>
        <w:t>Q8 (Perceptibility):</w:t>
      </w:r>
      <w:r w:rsidRPr="00B456B9">
        <w:rPr>
          <w:rFonts w:ascii="Calibri" w:hAnsi="Calibri" w:cs="Calibri"/>
        </w:rPr>
        <w:t xml:space="preserve"> 68% of participants rated the flicker as "Very Noticeable" or "Extremely Noticeable," with a median response of "Very Noticeable." This indicates that participants clearly perceived the differences between flicker conditions, confirming the effectiveness of the experimental manipulation.</w:t>
      </w:r>
    </w:p>
    <w:p w14:paraId="6834AD2A" w14:textId="77777777" w:rsidR="00B456B9" w:rsidRDefault="00B456B9" w:rsidP="00B456B9">
      <w:pPr>
        <w:rPr>
          <w:rFonts w:ascii="Calibri" w:hAnsi="Calibri" w:cs="Calibri"/>
        </w:rPr>
      </w:pPr>
      <w:r w:rsidRPr="00B456B9">
        <w:rPr>
          <w:rFonts w:ascii="Calibri" w:hAnsi="Calibri" w:cs="Calibri"/>
          <w:b/>
          <w:bCs/>
        </w:rPr>
        <w:t>Q5 (Perceived Distraction):</w:t>
      </w:r>
      <w:r w:rsidRPr="00B456B9">
        <w:rPr>
          <w:rFonts w:ascii="Calibri" w:hAnsi="Calibri" w:cs="Calibri"/>
        </w:rPr>
        <w:t xml:space="preserve"> 64% of participants rated the distraction as "Strong," "Very Strong," or "Extreme," with a median response of "Strong." This confirms that the flicker was </w:t>
      </w:r>
      <w:r w:rsidRPr="00B456B9">
        <w:rPr>
          <w:rFonts w:ascii="Calibri" w:hAnsi="Calibri" w:cs="Calibri"/>
        </w:rPr>
        <w:lastRenderedPageBreak/>
        <w:t>a tangible and significant source of distraction.</w:t>
      </w:r>
    </w:p>
    <w:p w14:paraId="0ADE8DB6" w14:textId="77777777" w:rsidR="00B456B9" w:rsidRPr="00B456B9" w:rsidRDefault="00B456B9" w:rsidP="00B456B9">
      <w:pPr>
        <w:rPr>
          <w:rFonts w:ascii="Calibri" w:hAnsi="Calibri" w:cs="Calibri"/>
        </w:rPr>
      </w:pPr>
    </w:p>
    <w:p w14:paraId="47E40750" w14:textId="77777777" w:rsidR="00B456B9" w:rsidRPr="00B456B9" w:rsidRDefault="00B456B9" w:rsidP="00B456B9">
      <w:pPr>
        <w:rPr>
          <w:rFonts w:ascii="Calibri" w:hAnsi="Calibri" w:cs="Calibri"/>
          <w:b/>
          <w:bCs/>
        </w:rPr>
      </w:pPr>
      <w:r w:rsidRPr="00B456B9">
        <w:rPr>
          <w:rFonts w:ascii="Calibri" w:hAnsi="Calibri" w:cs="Calibri"/>
          <w:b/>
          <w:bCs/>
        </w:rPr>
        <w:t>2. Subjective Dissociation: Increased Effort vs. Maintained Confidence</w:t>
      </w:r>
    </w:p>
    <w:p w14:paraId="11F966DA" w14:textId="77777777" w:rsidR="00B456B9" w:rsidRPr="00B456B9" w:rsidRDefault="00B456B9" w:rsidP="00B456B9">
      <w:pPr>
        <w:rPr>
          <w:rFonts w:ascii="Calibri" w:hAnsi="Calibri" w:cs="Calibri"/>
        </w:rPr>
      </w:pPr>
      <w:r w:rsidRPr="00B456B9">
        <w:rPr>
          <w:rFonts w:ascii="Calibri" w:hAnsi="Calibri" w:cs="Calibri"/>
          <w:b/>
          <w:bCs/>
        </w:rPr>
        <w:t>Q1 (Task Difficulty):</w:t>
      </w:r>
      <w:r w:rsidRPr="00B456B9">
        <w:rPr>
          <w:rFonts w:ascii="Calibri" w:hAnsi="Calibri" w:cs="Calibri"/>
        </w:rPr>
        <w:t xml:space="preserve"> 68% of participants rated the task as "Somewhat Difficult" or harder, with a median response of "Somewhat Difficult."</w:t>
      </w:r>
    </w:p>
    <w:p w14:paraId="27EB640E" w14:textId="77777777" w:rsidR="00B456B9" w:rsidRPr="00B456B9" w:rsidRDefault="00B456B9" w:rsidP="00B456B9">
      <w:pPr>
        <w:rPr>
          <w:rFonts w:ascii="Calibri" w:hAnsi="Calibri" w:cs="Calibri"/>
        </w:rPr>
      </w:pPr>
      <w:r w:rsidRPr="00B456B9">
        <w:rPr>
          <w:rFonts w:ascii="Calibri" w:hAnsi="Calibri" w:cs="Calibri"/>
          <w:b/>
          <w:bCs/>
        </w:rPr>
        <w:t>Q2 (Mental Demand) &amp; Q3 (Effort):</w:t>
      </w:r>
      <w:r w:rsidRPr="00B456B9">
        <w:rPr>
          <w:rFonts w:ascii="Calibri" w:hAnsi="Calibri" w:cs="Calibri"/>
        </w:rPr>
        <w:t xml:space="preserve"> The median for both items was "Moderate," with approximately 44% of participants reporting elevated mental demand.</w:t>
      </w:r>
    </w:p>
    <w:p w14:paraId="0C6A4308" w14:textId="77777777" w:rsidR="00B456B9" w:rsidRPr="00B456B9" w:rsidRDefault="00B456B9" w:rsidP="00B456B9">
      <w:pPr>
        <w:rPr>
          <w:rFonts w:ascii="Calibri" w:hAnsi="Calibri" w:cs="Calibri"/>
        </w:rPr>
      </w:pPr>
      <w:r w:rsidRPr="00B456B9">
        <w:rPr>
          <w:rFonts w:ascii="Calibri" w:hAnsi="Calibri" w:cs="Calibri"/>
          <w:b/>
          <w:bCs/>
        </w:rPr>
        <w:t>The Dissociation:</w:t>
      </w:r>
      <w:r w:rsidRPr="00B456B9">
        <w:rPr>
          <w:rFonts w:ascii="Calibri" w:hAnsi="Calibri" w:cs="Calibri"/>
        </w:rPr>
        <w:t xml:space="preserve"> Despite the increased difficulty and effort, </w:t>
      </w:r>
      <w:r w:rsidRPr="00B456B9">
        <w:rPr>
          <w:rFonts w:ascii="Calibri" w:hAnsi="Calibri" w:cs="Calibri"/>
          <w:b/>
          <w:bCs/>
        </w:rPr>
        <w:t>Q7 (Decision Confidence)</w:t>
      </w:r>
      <w:r w:rsidRPr="00B456B9">
        <w:rPr>
          <w:rFonts w:ascii="Calibri" w:hAnsi="Calibri" w:cs="Calibri"/>
        </w:rPr>
        <w:t xml:space="preserve"> revealed that 76% of participants felt "Somewhat Confident" or "Confident," with a median response of "Somewhat Confident."</w:t>
      </w:r>
    </w:p>
    <w:p w14:paraId="639A4A7E" w14:textId="77777777" w:rsidR="00B456B9" w:rsidRPr="00B456B9" w:rsidRDefault="00B456B9" w:rsidP="00B456B9">
      <w:pPr>
        <w:rPr>
          <w:rFonts w:ascii="Calibri" w:hAnsi="Calibri" w:cs="Calibri"/>
        </w:rPr>
      </w:pPr>
      <w:r w:rsidRPr="00B456B9">
        <w:rPr>
          <w:rFonts w:ascii="Calibri" w:hAnsi="Calibri" w:cs="Calibri"/>
          <w:i/>
          <w:iCs/>
        </w:rPr>
        <w:t>Interpretation:</w:t>
      </w:r>
      <w:r w:rsidRPr="00B456B9">
        <w:rPr>
          <w:rFonts w:ascii="Calibri" w:hAnsi="Calibri" w:cs="Calibri"/>
        </w:rPr>
        <w:t xml:space="preserve"> This "subjective dissociation"—where participants feel the task is more taxing yet remain confident in their performance—corroborates the behavioral data (i.e., eye-tracking metrics showed no significant changes in gaze patterns due to flicker). Participants felt the increased burden, yet their underlying behavioral strategies remained robust.</w:t>
      </w:r>
    </w:p>
    <w:p w14:paraId="3128B3A5" w14:textId="77777777" w:rsidR="00B456B9" w:rsidRPr="00B456B9" w:rsidRDefault="00B456B9" w:rsidP="00B456B9">
      <w:pPr>
        <w:rPr>
          <w:rFonts w:ascii="Calibri" w:hAnsi="Calibri" w:cs="Calibri"/>
          <w:b/>
          <w:bCs/>
        </w:rPr>
      </w:pPr>
      <w:r w:rsidRPr="00B456B9">
        <w:rPr>
          <w:rFonts w:ascii="Calibri" w:hAnsi="Calibri" w:cs="Calibri"/>
          <w:b/>
          <w:bCs/>
        </w:rPr>
        <w:t>3. CMS Movement: Comprehensible but Cognitively Demanding</w:t>
      </w:r>
    </w:p>
    <w:p w14:paraId="01807BB0" w14:textId="77777777" w:rsidR="00B456B9" w:rsidRPr="00B456B9" w:rsidRDefault="00B456B9" w:rsidP="00B456B9">
      <w:pPr>
        <w:rPr>
          <w:rFonts w:ascii="Calibri" w:hAnsi="Calibri" w:cs="Calibri"/>
        </w:rPr>
      </w:pPr>
      <w:r w:rsidRPr="00B456B9">
        <w:rPr>
          <w:rFonts w:ascii="Calibri" w:hAnsi="Calibri" w:cs="Calibri"/>
          <w:b/>
          <w:bCs/>
        </w:rPr>
        <w:t>Q4 (Clarity of CMS Movement):</w:t>
      </w:r>
      <w:r w:rsidRPr="00B456B9">
        <w:rPr>
          <w:rFonts w:ascii="Calibri" w:hAnsi="Calibri" w:cs="Calibri"/>
        </w:rPr>
        <w:t xml:space="preserve"> The median response was "Somewhat Clear," with 44% of participants selecting this option. This suggests that participants were able to extract motion information from the flickering CMS icons.</w:t>
      </w:r>
    </w:p>
    <w:p w14:paraId="3915D200" w14:textId="77777777" w:rsidR="00B456B9" w:rsidRPr="00B456B9" w:rsidRDefault="00B456B9" w:rsidP="00B456B9">
      <w:pPr>
        <w:rPr>
          <w:rFonts w:ascii="Calibri" w:hAnsi="Calibri" w:cs="Calibri"/>
        </w:rPr>
      </w:pPr>
      <w:r w:rsidRPr="00B456B9">
        <w:rPr>
          <w:rFonts w:ascii="Calibri" w:hAnsi="Calibri" w:cs="Calibri"/>
          <w:i/>
          <w:iCs/>
        </w:rPr>
        <w:t>Interpretation:</w:t>
      </w:r>
      <w:r w:rsidRPr="00B456B9">
        <w:rPr>
          <w:rFonts w:ascii="Calibri" w:hAnsi="Calibri" w:cs="Calibri"/>
        </w:rPr>
        <w:t xml:space="preserve"> When viewed alongside the moderate-to-high scores in Q2 and Q3 (mental demand and effort), it is evident that while the movement remains legible, it requires a higher allocation of cognitive resources to process compared to non-flickering conditions.</w:t>
      </w:r>
    </w:p>
    <w:p w14:paraId="15261349" w14:textId="77777777" w:rsidR="00B456B9" w:rsidRPr="00B456B9" w:rsidRDefault="00B456B9" w:rsidP="00B456B9">
      <w:pPr>
        <w:rPr>
          <w:rFonts w:ascii="Calibri" w:hAnsi="Calibri" w:cs="Calibri"/>
          <w:b/>
          <w:bCs/>
        </w:rPr>
      </w:pPr>
      <w:r w:rsidRPr="00B456B9">
        <w:rPr>
          <w:rFonts w:ascii="Calibri" w:hAnsi="Calibri" w:cs="Calibri"/>
          <w:b/>
          <w:bCs/>
        </w:rPr>
        <w:t>4. Subjective Impact on Decision-Making and Visual Comfort</w:t>
      </w:r>
    </w:p>
    <w:p w14:paraId="70BE88D2" w14:textId="77777777" w:rsidR="00B456B9" w:rsidRPr="00B456B9" w:rsidRDefault="00B456B9" w:rsidP="00B456B9">
      <w:pPr>
        <w:rPr>
          <w:rFonts w:ascii="Calibri" w:hAnsi="Calibri" w:cs="Calibri"/>
        </w:rPr>
      </w:pPr>
      <w:r w:rsidRPr="00B456B9">
        <w:rPr>
          <w:rFonts w:ascii="Calibri" w:hAnsi="Calibri" w:cs="Calibri"/>
          <w:b/>
          <w:bCs/>
        </w:rPr>
        <w:t>Q9 (Impact on Decision-Making):</w:t>
      </w:r>
      <w:r w:rsidRPr="00B456B9">
        <w:rPr>
          <w:rFonts w:ascii="Calibri" w:hAnsi="Calibri" w:cs="Calibri"/>
        </w:rPr>
        <w:t xml:space="preserve"> 52% of participants perceived the flicker as having a "Strong" or "Significant" impact on their decision-making process (median: "Strong"). This provides subjective validity for the ecological significance of the experimental findings.</w:t>
      </w:r>
    </w:p>
    <w:p w14:paraId="5893CE0F" w14:textId="4EFC56BC" w:rsidR="00B456B9" w:rsidRPr="00B456B9" w:rsidRDefault="00B456B9" w:rsidP="00B456B9">
      <w:pPr>
        <w:rPr>
          <w:rFonts w:ascii="Calibri" w:hAnsi="Calibri" w:cs="Calibri"/>
        </w:rPr>
      </w:pPr>
      <w:r w:rsidRPr="00B456B9">
        <w:rPr>
          <w:rFonts w:ascii="Calibri" w:hAnsi="Calibri" w:cs="Calibri"/>
          <w:b/>
          <w:bCs/>
        </w:rPr>
        <w:t>Q6 (Visual Discomfort/Eye Fatigue):</w:t>
      </w:r>
      <w:r w:rsidRPr="00B456B9">
        <w:rPr>
          <w:rFonts w:ascii="Calibri" w:hAnsi="Calibri" w:cs="Calibri"/>
        </w:rPr>
        <w:t xml:space="preserve"> 64% of participants reported "Moderate" or higher levels of discomfort. This result aligns closely with the objective increase in Oculomotor symptoms (</w:t>
      </w:r>
      <w:r w:rsidRPr="00B456B9">
        <w:rPr>
          <w:rFonts w:ascii="Calibri" w:hAnsi="Calibri" w:cs="Calibri" w:hint="eastAsia"/>
        </w:rPr>
        <w:t>（</w:t>
      </w:r>
      <w:r w:rsidRPr="00B456B9">
        <w:rPr>
          <w:rFonts w:ascii="Calibri" w:hAnsi="Calibri" w:cs="Calibri"/>
        </w:rPr>
        <w:t>Cohen's</w:t>
      </w:r>
      <w:r w:rsidR="002C3364">
        <w:rPr>
          <w:rFonts w:ascii="Calibri" w:hAnsi="Calibri" w:cs="Calibri" w:hint="eastAsia"/>
        </w:rPr>
        <w:t xml:space="preserve"> </w:t>
      </w:r>
      <w:r w:rsidRPr="00B456B9">
        <w:rPr>
          <w:rFonts w:ascii="Calibri" w:hAnsi="Calibri" w:cs="Calibri"/>
        </w:rPr>
        <w:t>d ≈ 0.61</w:t>
      </w:r>
      <w:r w:rsidRPr="00B456B9">
        <w:rPr>
          <w:rFonts w:ascii="Calibri" w:hAnsi="Calibri" w:cs="Calibri"/>
        </w:rPr>
        <w:t>）</w:t>
      </w:r>
      <w:r w:rsidRPr="00B456B9">
        <w:rPr>
          <w:rFonts w:ascii="Calibri" w:hAnsi="Calibri" w:cs="Calibri"/>
        </w:rPr>
        <w:t>) measured via the Simulator Sickness Questionnaire (SSQ), providing cross-validation between subjective reporting and objective physiological measurement.</w:t>
      </w:r>
    </w:p>
    <w:p w14:paraId="3954F356" w14:textId="77777777" w:rsidR="00B456B9" w:rsidRPr="00B456B9" w:rsidRDefault="00B456B9" w:rsidP="00B456B9">
      <w:pPr>
        <w:rPr>
          <w:rFonts w:ascii="Calibri" w:hAnsi="Calibri" w:cs="Calibri"/>
          <w:b/>
          <w:bCs/>
        </w:rPr>
      </w:pPr>
      <w:r w:rsidRPr="00B456B9">
        <w:rPr>
          <w:rFonts w:ascii="Calibri" w:hAnsi="Calibri" w:cs="Calibri"/>
          <w:b/>
          <w:bCs/>
        </w:rPr>
        <w:t>Summary</w:t>
      </w:r>
    </w:p>
    <w:p w14:paraId="0B07F493" w14:textId="77777777" w:rsidR="00B456B9" w:rsidRPr="00B456B9" w:rsidRDefault="00B456B9" w:rsidP="00B456B9">
      <w:pPr>
        <w:rPr>
          <w:rFonts w:ascii="Calibri" w:hAnsi="Calibri" w:cs="Calibri"/>
        </w:rPr>
      </w:pPr>
      <w:r w:rsidRPr="00B456B9">
        <w:rPr>
          <w:rFonts w:ascii="Calibri" w:hAnsi="Calibri" w:cs="Calibri"/>
        </w:rPr>
        <w:t xml:space="preserve">Participants clearly perceived the flicker and reported increased effort and visual discomfort. </w:t>
      </w:r>
      <w:r w:rsidRPr="00B456B9">
        <w:rPr>
          <w:rFonts w:ascii="Calibri" w:hAnsi="Calibri" w:cs="Calibri"/>
        </w:rPr>
        <w:lastRenderedPageBreak/>
        <w:t>However, the CMS movement remained comprehensible, and the majority of participants maintained confidence in their judgments. This suggests that while the flicker was subjectively taxing, it did not significantly disrupt the participants' decision-making strategies at the behavioral level.</w:t>
      </w:r>
    </w:p>
    <w:p w14:paraId="0CBA0F06" w14:textId="77777777" w:rsidR="00B456B9" w:rsidRDefault="00B456B9">
      <w:pPr>
        <w:rPr>
          <w:rFonts w:ascii="Calibri" w:hAnsi="Calibri" w:cs="Calibri"/>
        </w:rPr>
      </w:pPr>
    </w:p>
    <w:p w14:paraId="4F609692" w14:textId="77777777" w:rsidR="002C3364" w:rsidRPr="002C3364" w:rsidRDefault="002C3364" w:rsidP="002C3364">
      <w:pPr>
        <w:rPr>
          <w:rFonts w:ascii="Calibri" w:hAnsi="Calibri" w:cs="Calibri"/>
          <w:b/>
          <w:bCs/>
        </w:rPr>
      </w:pPr>
      <w:r w:rsidRPr="002C3364">
        <w:rPr>
          <w:rFonts w:ascii="Calibri" w:hAnsi="Calibri" w:cs="Calibri"/>
          <w:b/>
          <w:bCs/>
        </w:rPr>
        <w:t>Qualitative Results: Semi-Structured Interview Analysis (N = 25)</w:t>
      </w:r>
    </w:p>
    <w:p w14:paraId="477D33DC" w14:textId="77777777" w:rsidR="002C3364" w:rsidRPr="002C3364" w:rsidRDefault="002C3364" w:rsidP="002C3364">
      <w:pPr>
        <w:rPr>
          <w:rFonts w:ascii="Calibri" w:hAnsi="Calibri" w:cs="Calibri"/>
          <w:b/>
          <w:bCs/>
        </w:rPr>
      </w:pPr>
      <w:r w:rsidRPr="002C3364">
        <w:rPr>
          <w:rFonts w:ascii="Calibri" w:hAnsi="Calibri" w:cs="Calibri"/>
          <w:b/>
          <w:bCs/>
        </w:rPr>
        <w:t>1. Overview and Coding Approach</w:t>
      </w:r>
    </w:p>
    <w:p w14:paraId="293B4A14" w14:textId="7939355D" w:rsidR="002C3364" w:rsidRPr="002C3364" w:rsidRDefault="002C3364" w:rsidP="002C3364">
      <w:pPr>
        <w:rPr>
          <w:rFonts w:ascii="Calibri" w:hAnsi="Calibri" w:cs="Calibri"/>
        </w:rPr>
      </w:pPr>
      <w:r w:rsidRPr="002C3364">
        <w:rPr>
          <w:rFonts w:ascii="Calibri" w:hAnsi="Calibri" w:cs="Calibri"/>
        </w:rPr>
        <w:t xml:space="preserve">Following the LSG task, all 25 participants (P01–P25) completed </w:t>
      </w:r>
      <w:proofErr w:type="spellStart"/>
      <w:r w:rsidRPr="002C3364">
        <w:rPr>
          <w:rFonts w:ascii="Calibri" w:hAnsi="Calibri" w:cs="Calibri"/>
        </w:rPr>
        <w:t>a</w:t>
      </w:r>
      <w:proofErr w:type="spellEnd"/>
      <w:r w:rsidRPr="002C3364">
        <w:rPr>
          <w:rFonts w:ascii="Calibri" w:hAnsi="Calibri" w:cs="Calibri"/>
        </w:rPr>
        <w:t xml:space="preserve"> approximately 5-minute semi-structured interview covering six topics: lane-change decision criteria, perceived flicker effects on judgment, awareness of CMS image quality differences, flicker tolerance, simulator fidelity, and overall attitudes toward digital mirrors. Open coding yielded</w:t>
      </w:r>
      <w:r>
        <w:rPr>
          <w:rFonts w:ascii="Calibri" w:hAnsi="Calibri" w:cs="Calibri" w:hint="eastAsia"/>
        </w:rPr>
        <w:t xml:space="preserve"> 6</w:t>
      </w:r>
      <w:r w:rsidRPr="002C3364">
        <w:rPr>
          <w:rFonts w:ascii="Calibri" w:hAnsi="Calibri" w:cs="Calibri"/>
        </w:rPr>
        <w:t xml:space="preserve"> themes, subsequently verified for consistency with LLM-assisted cross-checking.</w:t>
      </w:r>
    </w:p>
    <w:p w14:paraId="62959BDC" w14:textId="66EEDAE8" w:rsidR="002C3364" w:rsidRPr="002C3364" w:rsidRDefault="002C3364" w:rsidP="002C3364">
      <w:pPr>
        <w:rPr>
          <w:rFonts w:ascii="Calibri" w:hAnsi="Calibri" w:cs="Calibri"/>
        </w:rPr>
      </w:pPr>
    </w:p>
    <w:p w14:paraId="20892269" w14:textId="77777777" w:rsidR="002C3364" w:rsidRPr="002C3364" w:rsidRDefault="002C3364" w:rsidP="002C3364">
      <w:pPr>
        <w:rPr>
          <w:rFonts w:ascii="Calibri" w:hAnsi="Calibri" w:cs="Calibri"/>
          <w:b/>
          <w:bCs/>
        </w:rPr>
      </w:pPr>
      <w:r w:rsidRPr="002C3364">
        <w:rPr>
          <w:rFonts w:ascii="Calibri" w:hAnsi="Calibri" w:cs="Calibri"/>
          <w:b/>
          <w:bCs/>
        </w:rPr>
        <w:t>2. Theme 1: Baseline Decision Strategies</w:t>
      </w:r>
    </w:p>
    <w:p w14:paraId="47F9E7AB" w14:textId="77777777" w:rsidR="002C3364" w:rsidRPr="002C3364" w:rsidRDefault="002C3364" w:rsidP="002C3364">
      <w:pPr>
        <w:rPr>
          <w:rFonts w:ascii="Calibri" w:hAnsi="Calibri" w:cs="Calibri"/>
        </w:rPr>
      </w:pPr>
      <w:r w:rsidRPr="002C3364">
        <w:rPr>
          <w:rFonts w:ascii="Calibri" w:hAnsi="Calibri" w:cs="Calibri"/>
        </w:rPr>
        <w:t>Participants reported four distinct decision strategies: intuitive relative-distance thresholds (P04, P05, P11, P18, P23, P25); time-to-collision estimation (P10, P20); procedural reference-counting (P06 used lane markings; P14 combined fixed landmarks with countdown; P21 used rear-vehicle alignment as a half-car-length threshold); and experience-based intuition (P01, P07, P09, P23). This baseline matters because flicker disrupted different cues depending on strategy — counting-based strategies lost their anchor points under flicker (P06 abandoned lane counting and reverted to rough estimation), while threshold-based strategies lost speed and distance perception directly.</w:t>
      </w:r>
    </w:p>
    <w:p w14:paraId="59395693" w14:textId="3484D512" w:rsidR="002C3364" w:rsidRPr="002C3364" w:rsidRDefault="002C3364" w:rsidP="002C3364">
      <w:pPr>
        <w:rPr>
          <w:rFonts w:ascii="Calibri" w:hAnsi="Calibri" w:cs="Calibri"/>
        </w:rPr>
      </w:pPr>
    </w:p>
    <w:p w14:paraId="07BB1BE0" w14:textId="77777777" w:rsidR="002C3364" w:rsidRPr="002C3364" w:rsidRDefault="002C3364" w:rsidP="002C3364">
      <w:pPr>
        <w:rPr>
          <w:rFonts w:ascii="Calibri" w:hAnsi="Calibri" w:cs="Calibri"/>
          <w:b/>
          <w:bCs/>
        </w:rPr>
      </w:pPr>
      <w:r w:rsidRPr="002C3364">
        <w:rPr>
          <w:rFonts w:ascii="Calibri" w:hAnsi="Calibri" w:cs="Calibri"/>
          <w:b/>
          <w:bCs/>
        </w:rPr>
        <w:t>3. Theme 2: Flicker Effects on Lane-Change Behavior (SRQ1 / H1)</w:t>
      </w:r>
    </w:p>
    <w:p w14:paraId="30290504" w14:textId="77777777" w:rsidR="002C3364" w:rsidRPr="002C3364" w:rsidRDefault="002C3364" w:rsidP="002C3364">
      <w:pPr>
        <w:rPr>
          <w:rFonts w:ascii="Calibri" w:hAnsi="Calibri" w:cs="Calibri"/>
        </w:rPr>
      </w:pPr>
      <w:r w:rsidRPr="002C3364">
        <w:rPr>
          <w:rFonts w:ascii="Calibri" w:hAnsi="Calibri" w:cs="Calibri"/>
        </w:rPr>
        <w:t>Twenty-two of 25 participants reported that flicker altered their timing or gaze behavior, consistently in a conservative direction. Three behavioral patterns emerged.</w:t>
      </w:r>
    </w:p>
    <w:p w14:paraId="30B23D7A" w14:textId="77777777" w:rsidR="002C3364" w:rsidRPr="002C3364" w:rsidRDefault="002C3364" w:rsidP="002C3364">
      <w:pPr>
        <w:rPr>
          <w:rFonts w:ascii="Calibri" w:hAnsi="Calibri" w:cs="Calibri"/>
        </w:rPr>
      </w:pPr>
      <w:r w:rsidRPr="002C3364">
        <w:rPr>
          <w:rFonts w:ascii="Calibri" w:hAnsi="Calibri" w:cs="Calibri"/>
          <w:b/>
          <w:bCs/>
        </w:rPr>
        <w:t>Pattern A — Defensive early lane-changing.</w:t>
      </w:r>
      <w:r w:rsidRPr="002C3364">
        <w:rPr>
          <w:rFonts w:ascii="Calibri" w:hAnsi="Calibri" w:cs="Calibri"/>
        </w:rPr>
        <w:t xml:space="preserve"> Multiple participants reported deliberately maintaining greater following distance or initiating the maneuver earlier under flicker conditions (P08, P12, P13, P15, P16, P23). P16 articulated this explicitly: </w:t>
      </w:r>
      <w:r w:rsidRPr="002C3364">
        <w:rPr>
          <w:rFonts w:ascii="Calibri" w:hAnsi="Calibri" w:cs="Calibri"/>
          <w:i/>
          <w:iCs/>
        </w:rPr>
        <w:t>"Under strong flicker I only glance at the monitor two or three times — the final glance only needs to look roughly acceptable and I change immediately, just to stop looking at the screen."</w:t>
      </w:r>
      <w:r w:rsidRPr="002C3364">
        <w:rPr>
          <w:rFonts w:ascii="Calibri" w:hAnsi="Calibri" w:cs="Calibri"/>
        </w:rPr>
        <w:t xml:space="preserve"> P09 described a trust-collapse mechanism: </w:t>
      </w:r>
      <w:r w:rsidRPr="002C3364">
        <w:rPr>
          <w:rFonts w:ascii="Calibri" w:hAnsi="Calibri" w:cs="Calibri"/>
          <w:i/>
          <w:iCs/>
        </w:rPr>
        <w:t>"The flickering screen made me feel the CMS was about to fail, so instinctively I wanted to complete the maneuver before it broke down entirely."</w:t>
      </w:r>
      <w:r w:rsidRPr="002C3364">
        <w:rPr>
          <w:rFonts w:ascii="Calibri" w:hAnsi="Calibri" w:cs="Calibri"/>
        </w:rPr>
        <w:t xml:space="preserve"> These </w:t>
      </w:r>
      <w:r w:rsidRPr="002C3364">
        <w:rPr>
          <w:rFonts w:ascii="Calibri" w:hAnsi="Calibri" w:cs="Calibri"/>
        </w:rPr>
        <w:lastRenderedPageBreak/>
        <w:t>accounts align with the behavioral finding of longer TTC under flickering conditions, offering a subjective account of the conservative shift observed in the quantitative data.</w:t>
      </w:r>
    </w:p>
    <w:p w14:paraId="40ED2EB0" w14:textId="77777777" w:rsidR="002C3364" w:rsidRPr="002C3364" w:rsidRDefault="002C3364" w:rsidP="002C3364">
      <w:pPr>
        <w:rPr>
          <w:rFonts w:ascii="Calibri" w:hAnsi="Calibri" w:cs="Calibri"/>
        </w:rPr>
      </w:pPr>
      <w:r w:rsidRPr="002C3364">
        <w:rPr>
          <w:rFonts w:ascii="Calibri" w:hAnsi="Calibri" w:cs="Calibri"/>
          <w:b/>
          <w:bCs/>
        </w:rPr>
        <w:t>Pattern B — Increased gaze frequency and dwell time.</w:t>
      </w:r>
      <w:r w:rsidRPr="002C3364">
        <w:rPr>
          <w:rFonts w:ascii="Calibri" w:hAnsi="Calibri" w:cs="Calibri"/>
        </w:rPr>
        <w:t xml:space="preserve"> Several participants reported compensating for degraded image quality by looking at the CMS more frequently and for longer durations (P01, P03, P19, P22), consistent with the predicted increase in visual search effort under SRQ2.</w:t>
      </w:r>
    </w:p>
    <w:p w14:paraId="6624E6B5" w14:textId="77777777" w:rsidR="002C3364" w:rsidRPr="002C3364" w:rsidRDefault="002C3364" w:rsidP="002C3364">
      <w:pPr>
        <w:rPr>
          <w:rFonts w:ascii="Calibri" w:hAnsi="Calibri" w:cs="Calibri"/>
        </w:rPr>
      </w:pPr>
      <w:r w:rsidRPr="002C3364">
        <w:rPr>
          <w:rFonts w:ascii="Calibri" w:hAnsi="Calibri" w:cs="Calibri"/>
          <w:b/>
          <w:bCs/>
        </w:rPr>
        <w:t>Pattern C — Screen avoidance and decision coarsening.</w:t>
      </w:r>
      <w:r w:rsidRPr="002C3364">
        <w:rPr>
          <w:rFonts w:ascii="Calibri" w:hAnsi="Calibri" w:cs="Calibri"/>
        </w:rPr>
        <w:t xml:space="preserve"> A subset of participants reported actively avoiding the CMS under high-flicker conditions, relying instead on peripheral glances or completing the maneuver prematurely to end screen exposure (P08, P15, P16). This suggests that under severe degradation the CMS may transition from an information source to an avoided stimulus — a safety-relevant finding warranting separate discussion.</w:t>
      </w:r>
    </w:p>
    <w:p w14:paraId="30B3A69D" w14:textId="77777777" w:rsidR="002C3364" w:rsidRPr="002C3364" w:rsidRDefault="002C3364" w:rsidP="002C3364">
      <w:pPr>
        <w:rPr>
          <w:rFonts w:ascii="Calibri" w:hAnsi="Calibri" w:cs="Calibri"/>
        </w:rPr>
      </w:pPr>
      <w:r w:rsidRPr="002C3364">
        <w:rPr>
          <w:rFonts w:ascii="Calibri" w:hAnsi="Calibri" w:cs="Calibri"/>
        </w:rPr>
        <w:t xml:space="preserve">Three participants (P10, P18, P24) reported minimal behavioral impact, attributing this to their reliance on stable distance thresholds. P18 raised an important methodological caveat: </w:t>
      </w:r>
      <w:r w:rsidRPr="002C3364">
        <w:rPr>
          <w:rFonts w:ascii="Calibri" w:hAnsi="Calibri" w:cs="Calibri"/>
          <w:i/>
          <w:iCs/>
        </w:rPr>
        <w:t>"With short exposure I wasn't much affected, but after an hour of continuous driving the effect might be completely different"</w:t>
      </w:r>
      <w:r w:rsidRPr="002C3364">
        <w:rPr>
          <w:rFonts w:ascii="Calibri" w:hAnsi="Calibri" w:cs="Calibri"/>
        </w:rPr>
        <w:t xml:space="preserve"> — suggesting the present experiment may underestimate real-world effects.</w:t>
      </w:r>
    </w:p>
    <w:p w14:paraId="770BAE59" w14:textId="1C2437FE" w:rsidR="002C3364" w:rsidRPr="002C3364" w:rsidRDefault="002C3364" w:rsidP="002C3364">
      <w:pPr>
        <w:rPr>
          <w:rFonts w:ascii="Calibri" w:hAnsi="Calibri" w:cs="Calibri"/>
        </w:rPr>
      </w:pPr>
    </w:p>
    <w:p w14:paraId="162C79F4" w14:textId="77777777" w:rsidR="002C3364" w:rsidRPr="002C3364" w:rsidRDefault="002C3364" w:rsidP="002C3364">
      <w:pPr>
        <w:rPr>
          <w:rFonts w:ascii="Calibri" w:hAnsi="Calibri" w:cs="Calibri"/>
          <w:b/>
          <w:bCs/>
        </w:rPr>
      </w:pPr>
      <w:r w:rsidRPr="002C3364">
        <w:rPr>
          <w:rFonts w:ascii="Calibri" w:hAnsi="Calibri" w:cs="Calibri"/>
          <w:b/>
          <w:bCs/>
        </w:rPr>
        <w:t>4. Theme 3: Perceived Frequency and Depth Differences (SRQ2 / SRQ3)</w:t>
      </w:r>
    </w:p>
    <w:p w14:paraId="434F5597" w14:textId="77777777" w:rsidR="002C3364" w:rsidRPr="002C3364" w:rsidRDefault="002C3364" w:rsidP="002C3364">
      <w:pPr>
        <w:rPr>
          <w:rFonts w:ascii="Calibri" w:hAnsi="Calibri" w:cs="Calibri"/>
        </w:rPr>
      </w:pPr>
      <w:r w:rsidRPr="002C3364">
        <w:rPr>
          <w:rFonts w:ascii="Calibri" w:hAnsi="Calibri" w:cs="Calibri"/>
        </w:rPr>
        <w:t>Without using technical terminology, participants spontaneously differentiated flicker along two dimensions — "fast vs. slow flicker" and "depth of blackout / duration of blank frames" — corresponding closely to frequency and modulation depth respectively.</w:t>
      </w:r>
    </w:p>
    <w:p w14:paraId="5593546D" w14:textId="77777777" w:rsidR="002C3364" w:rsidRPr="002C3364" w:rsidRDefault="002C3364" w:rsidP="002C3364">
      <w:pPr>
        <w:rPr>
          <w:rFonts w:ascii="Calibri" w:hAnsi="Calibri" w:cs="Calibri"/>
        </w:rPr>
      </w:pPr>
      <w:r w:rsidRPr="002C3364">
        <w:rPr>
          <w:rFonts w:ascii="Calibri" w:hAnsi="Calibri" w:cs="Calibri"/>
          <w:b/>
          <w:bCs/>
        </w:rPr>
        <w:t>Modulation depth</w:t>
      </w:r>
      <w:r w:rsidRPr="002C3364">
        <w:rPr>
          <w:rFonts w:ascii="Calibri" w:hAnsi="Calibri" w:cs="Calibri"/>
        </w:rPr>
        <w:t xml:space="preserve"> emerged as the more consistently disruptive dimension. P02 stated: </w:t>
      </w:r>
      <w:r w:rsidRPr="002C3364">
        <w:rPr>
          <w:rFonts w:ascii="Calibri" w:hAnsi="Calibri" w:cs="Calibri"/>
          <w:i/>
          <w:iCs/>
        </w:rPr>
        <w:t>"The long intervals that made me lose the image were the most disruptive — as long as the image wasn't lost, frequency itself wasn't the problem."</w:t>
      </w:r>
      <w:r w:rsidRPr="002C3364">
        <w:rPr>
          <w:rFonts w:ascii="Calibri" w:hAnsi="Calibri" w:cs="Calibri"/>
        </w:rPr>
        <w:t xml:space="preserve"> P14 directly identified the pattern: </w:t>
      </w:r>
      <w:r w:rsidRPr="002C3364">
        <w:rPr>
          <w:rFonts w:ascii="Calibri" w:hAnsi="Calibri" w:cs="Calibri"/>
          <w:i/>
          <w:iCs/>
        </w:rPr>
        <w:t>"High modulation depth — longer black-screen duration — was the most distracting; high frequency with low depth was tolerable."</w:t>
      </w:r>
      <w:r w:rsidRPr="002C3364">
        <w:rPr>
          <w:rFonts w:ascii="Calibri" w:hAnsi="Calibri" w:cs="Calibri"/>
        </w:rPr>
        <w:t xml:space="preserve"> P19 provided a mechanistic account: </w:t>
      </w:r>
      <w:r w:rsidRPr="002C3364">
        <w:rPr>
          <w:rFonts w:ascii="Calibri" w:hAnsi="Calibri" w:cs="Calibri"/>
          <w:i/>
          <w:iCs/>
        </w:rPr>
        <w:t>"High depth created significant blackout intervals that broke visual continuity, preventing me from integrating frames into a coherent motion pattern."</w:t>
      </w:r>
      <w:r w:rsidRPr="002C3364">
        <w:rPr>
          <w:rFonts w:ascii="Calibri" w:hAnsi="Calibri" w:cs="Calibri"/>
        </w:rPr>
        <w:t xml:space="preserve"> At least eight participants independently identified deep, prolonged blackouts as the most disruptive form.</w:t>
      </w:r>
    </w:p>
    <w:p w14:paraId="101AB9E2" w14:textId="77777777" w:rsidR="002C3364" w:rsidRPr="002C3364" w:rsidRDefault="002C3364" w:rsidP="002C3364">
      <w:pPr>
        <w:rPr>
          <w:rFonts w:ascii="Calibri" w:hAnsi="Calibri" w:cs="Calibri"/>
        </w:rPr>
      </w:pPr>
      <w:r w:rsidRPr="002C3364">
        <w:rPr>
          <w:rFonts w:ascii="Calibri" w:hAnsi="Calibri" w:cs="Calibri"/>
          <w:b/>
          <w:bCs/>
        </w:rPr>
        <w:t>Frequency</w:t>
      </w:r>
      <w:r w:rsidRPr="002C3364">
        <w:rPr>
          <w:rFonts w:ascii="Calibri" w:hAnsi="Calibri" w:cs="Calibri"/>
        </w:rPr>
        <w:t xml:space="preserve"> produced more divided responses. One group found higher frequencies more aversive (P08, P11, P16, P20, P23, P25); another found lower frequencies more disruptive (P14, P21, P24). This divergence is likely not contradictory but reflects a frequency–depth interaction: at low modulation depth, higher frequencies approach perceptual fusion and become more tolerable; at high modulation depth, lower frequencies produce conspicuous intermittent blackouts with maximum disruption. This candidate mechanism — articulated </w:t>
      </w:r>
      <w:r w:rsidRPr="002C3364">
        <w:rPr>
          <w:rFonts w:ascii="Calibri" w:hAnsi="Calibri" w:cs="Calibri"/>
        </w:rPr>
        <w:lastRenderedPageBreak/>
        <w:t>most clearly by P14, P19, and P21 — aligns with the directional prediction of H3 and suggests that frequency effects cannot be interpreted independently of depth.</w:t>
      </w:r>
    </w:p>
    <w:p w14:paraId="6C59D63C" w14:textId="77777777" w:rsidR="002C3364" w:rsidRPr="002C3364" w:rsidRDefault="002C3364" w:rsidP="002C3364">
      <w:pPr>
        <w:rPr>
          <w:rFonts w:ascii="Calibri" w:hAnsi="Calibri" w:cs="Calibri"/>
        </w:rPr>
      </w:pPr>
      <w:r w:rsidRPr="002C3364">
        <w:rPr>
          <w:rFonts w:ascii="Calibri" w:hAnsi="Calibri" w:cs="Calibri"/>
        </w:rPr>
        <w:t xml:space="preserve">Regarding the specific H1 prediction of maximal disruption at 12.5 Hz, no participant used "mid-range frequency" as a descriptor, though P11 noted that </w:t>
      </w:r>
      <w:r w:rsidRPr="002C3364">
        <w:rPr>
          <w:rFonts w:ascii="Calibri" w:hAnsi="Calibri" w:cs="Calibri"/>
          <w:i/>
          <w:iCs/>
        </w:rPr>
        <w:t>"intermediate flicker intensity created perceptual pressure without complete image loss, and was the most disruptive to judgment"</w:t>
      </w:r>
      <w:r w:rsidRPr="002C3364">
        <w:rPr>
          <w:rFonts w:ascii="Calibri" w:hAnsi="Calibri" w:cs="Calibri"/>
        </w:rPr>
        <w:t>, and P05 and P12 reported that moderate instability made speed and distance hardest to assess — providing indirect support that warrants cross-validation with behavioral TTC data.</w:t>
      </w:r>
    </w:p>
    <w:p w14:paraId="4D7CB268" w14:textId="056C05B9" w:rsidR="002C3364" w:rsidRPr="002C3364" w:rsidRDefault="002C3364" w:rsidP="002C3364">
      <w:pPr>
        <w:rPr>
          <w:rFonts w:ascii="Calibri" w:hAnsi="Calibri" w:cs="Calibri"/>
        </w:rPr>
      </w:pPr>
    </w:p>
    <w:p w14:paraId="43D52E4D" w14:textId="77777777" w:rsidR="002C3364" w:rsidRPr="002C3364" w:rsidRDefault="002C3364" w:rsidP="002C3364">
      <w:pPr>
        <w:rPr>
          <w:rFonts w:ascii="Calibri" w:hAnsi="Calibri" w:cs="Calibri"/>
          <w:b/>
          <w:bCs/>
        </w:rPr>
      </w:pPr>
      <w:r w:rsidRPr="002C3364">
        <w:rPr>
          <w:rFonts w:ascii="Calibri" w:hAnsi="Calibri" w:cs="Calibri"/>
          <w:b/>
          <w:bCs/>
        </w:rPr>
        <w:t>5. Theme 4: Subjective Cognitive Load (SRQ2)</w:t>
      </w:r>
    </w:p>
    <w:p w14:paraId="645E16BD" w14:textId="77777777" w:rsidR="002C3364" w:rsidRPr="002C3364" w:rsidRDefault="002C3364" w:rsidP="002C3364">
      <w:pPr>
        <w:rPr>
          <w:rFonts w:ascii="Calibri" w:hAnsi="Calibri" w:cs="Calibri"/>
        </w:rPr>
      </w:pPr>
      <w:r w:rsidRPr="002C3364">
        <w:rPr>
          <w:rFonts w:ascii="Calibri" w:hAnsi="Calibri" w:cs="Calibri"/>
        </w:rPr>
        <w:t>Participants spontaneously reported four categories of load that map onto the Q1–Q4 rating scales.</w:t>
      </w:r>
    </w:p>
    <w:p w14:paraId="089B378A" w14:textId="77777777" w:rsidR="002C3364" w:rsidRPr="002C3364" w:rsidRDefault="002C3364" w:rsidP="002C3364">
      <w:pPr>
        <w:rPr>
          <w:rFonts w:ascii="Calibri" w:hAnsi="Calibri" w:cs="Calibri"/>
        </w:rPr>
      </w:pPr>
      <w:r w:rsidRPr="002C3364">
        <w:rPr>
          <w:rFonts w:ascii="Calibri" w:hAnsi="Calibri" w:cs="Calibri"/>
          <w:b/>
          <w:bCs/>
        </w:rPr>
        <w:t>Visual fatigue and physical discomfort</w:t>
      </w:r>
      <w:r w:rsidRPr="002C3364">
        <w:rPr>
          <w:rFonts w:ascii="Calibri" w:hAnsi="Calibri" w:cs="Calibri"/>
        </w:rPr>
        <w:t xml:space="preserve"> were widespread: eye strain or tension (P10, P13, P19, P20, P23), pain or inability to sustain gaze (P11, P16), and headache (P08). P13 noted pre-existing eye surgery as a source of individual sensitivity.</w:t>
      </w:r>
    </w:p>
    <w:p w14:paraId="45AE6BAB" w14:textId="77777777" w:rsidR="002C3364" w:rsidRPr="002C3364" w:rsidRDefault="002C3364" w:rsidP="002C3364">
      <w:pPr>
        <w:rPr>
          <w:rFonts w:ascii="Calibri" w:hAnsi="Calibri" w:cs="Calibri"/>
        </w:rPr>
      </w:pPr>
      <w:r w:rsidRPr="002C3364">
        <w:rPr>
          <w:rFonts w:ascii="Calibri" w:hAnsi="Calibri" w:cs="Calibri"/>
          <w:b/>
          <w:bCs/>
        </w:rPr>
        <w:t>Attentional capture from peripheral flicker</w:t>
      </w:r>
      <w:r w:rsidRPr="002C3364">
        <w:rPr>
          <w:rFonts w:ascii="Calibri" w:hAnsi="Calibri" w:cs="Calibri"/>
        </w:rPr>
        <w:t xml:space="preserve"> was reported consistently (P12, P14, P16, P17): flicker drew attention involuntarily even when participants were looking elsewhere. P09 described this as </w:t>
      </w:r>
      <w:r w:rsidRPr="002C3364">
        <w:rPr>
          <w:rFonts w:ascii="Calibri" w:hAnsi="Calibri" w:cs="Calibri"/>
          <w:i/>
          <w:iCs/>
        </w:rPr>
        <w:t>"like someone repeatedly tapping your shoulder — eventually you choose to ignore it, and in a driving context, ignoring is dangerous."</w:t>
      </w:r>
    </w:p>
    <w:p w14:paraId="4F656459" w14:textId="77777777" w:rsidR="002C3364" w:rsidRPr="002C3364" w:rsidRDefault="002C3364" w:rsidP="002C3364">
      <w:pPr>
        <w:rPr>
          <w:rFonts w:ascii="Calibri" w:hAnsi="Calibri" w:cs="Calibri"/>
        </w:rPr>
      </w:pPr>
      <w:r w:rsidRPr="002C3364">
        <w:rPr>
          <w:rFonts w:ascii="Calibri" w:hAnsi="Calibri" w:cs="Calibri"/>
          <w:b/>
          <w:bCs/>
        </w:rPr>
        <w:t>Increased processing effort</w:t>
      </w:r>
      <w:r w:rsidRPr="002C3364">
        <w:rPr>
          <w:rFonts w:ascii="Calibri" w:hAnsi="Calibri" w:cs="Calibri"/>
        </w:rPr>
        <w:t xml:space="preserve"> was reported by a majority (P04, P05, P07, P12, P17, P20, P22, P25), who described needing more time and effort to extract speed and distance information from degraded images, consistent with the large effects on Q2 (mental demand) and Q3 (effort) ratings.</w:t>
      </w:r>
    </w:p>
    <w:p w14:paraId="7FC79361" w14:textId="77777777" w:rsidR="002C3364" w:rsidRPr="002C3364" w:rsidRDefault="002C3364" w:rsidP="002C3364">
      <w:pPr>
        <w:rPr>
          <w:rFonts w:ascii="Calibri" w:hAnsi="Calibri" w:cs="Calibri"/>
        </w:rPr>
      </w:pPr>
      <w:r w:rsidRPr="002C3364">
        <w:rPr>
          <w:rFonts w:ascii="Calibri" w:hAnsi="Calibri" w:cs="Calibri"/>
          <w:b/>
          <w:bCs/>
        </w:rPr>
        <w:t>Decision uncertainty</w:t>
      </w:r>
      <w:r w:rsidRPr="002C3364">
        <w:rPr>
          <w:rFonts w:ascii="Calibri" w:hAnsi="Calibri" w:cs="Calibri"/>
        </w:rPr>
        <w:t xml:space="preserve"> was noted by P13, P16, P18, and P19, who reported reduced confidence in their safety judgments under high-depth conditions — converging with the significant Q4 (decision certainty) effects in the quantitative data.</w:t>
      </w:r>
    </w:p>
    <w:p w14:paraId="266DE368" w14:textId="021F4A24" w:rsidR="002C3364" w:rsidRPr="002C3364" w:rsidRDefault="002C3364" w:rsidP="002C3364">
      <w:pPr>
        <w:rPr>
          <w:rFonts w:ascii="Calibri" w:hAnsi="Calibri" w:cs="Calibri"/>
        </w:rPr>
      </w:pPr>
    </w:p>
    <w:p w14:paraId="60B9C74C" w14:textId="77777777" w:rsidR="002C3364" w:rsidRPr="002C3364" w:rsidRDefault="002C3364" w:rsidP="002C3364">
      <w:pPr>
        <w:rPr>
          <w:rFonts w:ascii="Calibri" w:hAnsi="Calibri" w:cs="Calibri"/>
          <w:b/>
          <w:bCs/>
        </w:rPr>
      </w:pPr>
      <w:r w:rsidRPr="002C3364">
        <w:rPr>
          <w:rFonts w:ascii="Calibri" w:hAnsi="Calibri" w:cs="Calibri"/>
          <w:b/>
          <w:bCs/>
        </w:rPr>
        <w:t>6. Theme 5: Attitudes Toward CMS Technology</w:t>
      </w:r>
    </w:p>
    <w:p w14:paraId="521FA97E" w14:textId="77777777" w:rsidR="002C3364" w:rsidRPr="002C3364" w:rsidRDefault="002C3364" w:rsidP="002C3364">
      <w:pPr>
        <w:rPr>
          <w:rFonts w:ascii="Calibri" w:hAnsi="Calibri" w:cs="Calibri"/>
        </w:rPr>
      </w:pPr>
      <w:r w:rsidRPr="002C3364">
        <w:rPr>
          <w:rFonts w:ascii="Calibri" w:hAnsi="Calibri" w:cs="Calibri"/>
        </w:rPr>
        <w:t xml:space="preserve">Setting aside the flicker issue, attitudes toward CMS technology fell into three positions. A majority (approximately 13/25) expressed positive acceptance, citing wider field of view and cleaner imagery, with most conditional on eliminating flicker (P05, P07, P10, P12–P14, P17, P20–P22, P25). P17 additionally proposed that CMS should move beyond a passive display to actively integrate following-vehicle speed, length, and safe gap parameters. A second group </w:t>
      </w:r>
      <w:r w:rsidRPr="002C3364">
        <w:rPr>
          <w:rFonts w:ascii="Calibri" w:hAnsi="Calibri" w:cs="Calibri"/>
        </w:rPr>
        <w:lastRenderedPageBreak/>
        <w:t>(approximately 5/25; P09, P15, P16, P19) preferred conventional mirrors, primarily citing concerns about electronic failure. A third group (P18, P24) expressed conditional acceptance dependent on flicker severity and cost. Notably, P18 stated that flicker intensity would be a decisive purchasing criterion — underscoring the commercial relevance of the present findings.</w:t>
      </w:r>
    </w:p>
    <w:p w14:paraId="23B61C6B" w14:textId="56A7E594" w:rsidR="002C3364" w:rsidRPr="002C3364" w:rsidRDefault="002C3364" w:rsidP="002C3364">
      <w:pPr>
        <w:rPr>
          <w:rFonts w:ascii="Calibri" w:hAnsi="Calibri" w:cs="Calibri"/>
        </w:rPr>
      </w:pPr>
    </w:p>
    <w:p w14:paraId="1C6CFFF4" w14:textId="77777777" w:rsidR="002C3364" w:rsidRPr="002C3364" w:rsidRDefault="002C3364" w:rsidP="002C3364">
      <w:pPr>
        <w:rPr>
          <w:rFonts w:ascii="Calibri" w:hAnsi="Calibri" w:cs="Calibri"/>
          <w:b/>
          <w:bCs/>
        </w:rPr>
      </w:pPr>
      <w:r w:rsidRPr="002C3364">
        <w:rPr>
          <w:rFonts w:ascii="Calibri" w:hAnsi="Calibri" w:cs="Calibri"/>
          <w:b/>
          <w:bCs/>
        </w:rPr>
        <w:t>7. Theme 6: Experimental Design Limitations</w:t>
      </w:r>
    </w:p>
    <w:p w14:paraId="1CA3E745" w14:textId="661FC712" w:rsidR="002C3364" w:rsidRPr="002C3364" w:rsidRDefault="002C3364" w:rsidP="002C3364">
      <w:pPr>
        <w:rPr>
          <w:rFonts w:ascii="Calibri" w:hAnsi="Calibri" w:cs="Calibri"/>
        </w:rPr>
      </w:pPr>
      <w:r w:rsidRPr="002C3364">
        <w:rPr>
          <w:rFonts w:ascii="Calibri" w:hAnsi="Calibri" w:cs="Calibri"/>
        </w:rPr>
        <w:t>Participants identified four recurring design constraints relevant to the Discussion: (1) absence of speed and steering control, which may underestimate real-world flicker effects as drivers cannot actively compensate (P01, P05, P16, P20, P25); (2) no closed-loop feedback after each trial, preventing learning effects (P06, P15, P20, P24, P25); (3) unfamiliarity with commercial truck dimensions, introducing additional scale uncertainty (P19, P24); and (4) rating fatigue from 30 trials × 4 items.</w:t>
      </w:r>
    </w:p>
    <w:p w14:paraId="56EBFB50" w14:textId="76A94423" w:rsidR="002C3364" w:rsidRPr="002C3364" w:rsidRDefault="002C3364" w:rsidP="002C3364">
      <w:pPr>
        <w:rPr>
          <w:rFonts w:ascii="Calibri" w:hAnsi="Calibri" w:cs="Calibri"/>
        </w:rPr>
      </w:pPr>
    </w:p>
    <w:p w14:paraId="3614FD36" w14:textId="77777777" w:rsidR="002C3364" w:rsidRPr="002C3364" w:rsidRDefault="002C3364" w:rsidP="002C3364">
      <w:pPr>
        <w:rPr>
          <w:rFonts w:ascii="Calibri" w:hAnsi="Calibri" w:cs="Calibri"/>
          <w:b/>
          <w:bCs/>
        </w:rPr>
      </w:pPr>
      <w:r w:rsidRPr="002C3364">
        <w:rPr>
          <w:rFonts w:ascii="Calibri" w:hAnsi="Calibri" w:cs="Calibri"/>
          <w:b/>
          <w:bCs/>
        </w:rPr>
        <w:t>8. Synthesis: Mapping Interview Evidence to Hypotheses</w:t>
      </w:r>
    </w:p>
    <w:p w14:paraId="5E42CF97" w14:textId="77777777" w:rsidR="002C3364" w:rsidRPr="002C3364" w:rsidRDefault="002C3364" w:rsidP="002C3364">
      <w:pPr>
        <w:rPr>
          <w:rFonts w:ascii="Calibri" w:hAnsi="Calibri" w:cs="Calibri"/>
        </w:rPr>
      </w:pPr>
      <w:r w:rsidRPr="002C3364">
        <w:rPr>
          <w:rFonts w:ascii="Calibri" w:hAnsi="Calibri" w:cs="Calibri"/>
          <w:b/>
          <w:bCs/>
        </w:rPr>
        <w:t>H1</w:t>
      </w:r>
      <w:r w:rsidRPr="002C3364">
        <w:rPr>
          <w:rFonts w:ascii="Calibri" w:hAnsi="Calibri" w:cs="Calibri"/>
        </w:rPr>
        <w:t xml:space="preserve"> receives strong qualitative support: 22 of 25 participants reported behavioral or gaze changes under flicker, converging on increased caution (earlier lane changes, more frequent mirror checks), consistent with the longer TTC observed under flickering conditions.</w:t>
      </w:r>
    </w:p>
    <w:p w14:paraId="4422BEEE" w14:textId="77777777" w:rsidR="002C3364" w:rsidRPr="002C3364" w:rsidRDefault="002C3364" w:rsidP="002C3364">
      <w:pPr>
        <w:rPr>
          <w:rFonts w:ascii="Calibri" w:hAnsi="Calibri" w:cs="Calibri"/>
        </w:rPr>
      </w:pPr>
      <w:r w:rsidRPr="002C3364">
        <w:rPr>
          <w:rFonts w:ascii="Calibri" w:hAnsi="Calibri" w:cs="Calibri"/>
          <w:b/>
          <w:bCs/>
        </w:rPr>
        <w:t>H2</w:t>
      </w:r>
      <w:r w:rsidRPr="002C3364">
        <w:rPr>
          <w:rFonts w:ascii="Calibri" w:hAnsi="Calibri" w:cs="Calibri"/>
        </w:rPr>
        <w:t xml:space="preserve"> is supported across multiple subjective channels: visual fatigue, attentional capture, extended processing time, and decision uncertainty were consistently reported under flickering conditions, converging with the large effects on subjective rating DVs.</w:t>
      </w:r>
    </w:p>
    <w:p w14:paraId="0C71A240" w14:textId="6C24FB91" w:rsidR="002C3364" w:rsidRPr="002C3364" w:rsidRDefault="002C3364">
      <w:pPr>
        <w:rPr>
          <w:rFonts w:ascii="Calibri" w:hAnsi="Calibri" w:cs="Calibri" w:hint="eastAsia"/>
        </w:rPr>
      </w:pPr>
      <w:r w:rsidRPr="002C3364">
        <w:rPr>
          <w:rFonts w:ascii="Calibri" w:hAnsi="Calibri" w:cs="Calibri"/>
          <w:b/>
          <w:bCs/>
        </w:rPr>
        <w:t>H3</w:t>
      </w:r>
      <w:r w:rsidRPr="002C3364">
        <w:rPr>
          <w:rFonts w:ascii="Calibri" w:hAnsi="Calibri" w:cs="Calibri"/>
        </w:rPr>
        <w:t xml:space="preserve"> receives the most direct qualitative evidence: participants' spontaneous differentiation of depth (blackout duration) as the primary disruptive dimension — independent of frequency — and the candidate interaction mechanism described by multiple participants (low depth + high frequency = tolerable fusion; high depth + low frequency = maximum disruption) provide a subjective interpretive framework consistent with the H3 prediction, even though the quantitative interaction term was non-significant.</w:t>
      </w:r>
    </w:p>
    <w:sectPr w:rsidR="002C3364" w:rsidRPr="002C33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F4312" w14:textId="77777777" w:rsidR="009C7489" w:rsidRDefault="009C7489" w:rsidP="000F473F">
      <w:pPr>
        <w:spacing w:after="0" w:line="240" w:lineRule="auto"/>
      </w:pPr>
      <w:r>
        <w:separator/>
      </w:r>
    </w:p>
  </w:endnote>
  <w:endnote w:type="continuationSeparator" w:id="0">
    <w:p w14:paraId="5D9F78E0" w14:textId="77777777" w:rsidR="009C7489" w:rsidRDefault="009C7489" w:rsidP="000F4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AF284" w14:textId="77777777" w:rsidR="009C7489" w:rsidRDefault="009C7489" w:rsidP="000F473F">
      <w:pPr>
        <w:spacing w:after="0" w:line="240" w:lineRule="auto"/>
      </w:pPr>
      <w:r>
        <w:separator/>
      </w:r>
    </w:p>
  </w:footnote>
  <w:footnote w:type="continuationSeparator" w:id="0">
    <w:p w14:paraId="1A3F8CE7" w14:textId="77777777" w:rsidR="009C7489" w:rsidRDefault="009C7489" w:rsidP="000F47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E25"/>
    <w:multiLevelType w:val="multilevel"/>
    <w:tmpl w:val="EBC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33F74"/>
    <w:multiLevelType w:val="multilevel"/>
    <w:tmpl w:val="0180E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62131"/>
    <w:multiLevelType w:val="hybridMultilevel"/>
    <w:tmpl w:val="0198936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E967494"/>
    <w:multiLevelType w:val="multilevel"/>
    <w:tmpl w:val="60CC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E57B41"/>
    <w:multiLevelType w:val="multilevel"/>
    <w:tmpl w:val="A296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582763"/>
    <w:multiLevelType w:val="multilevel"/>
    <w:tmpl w:val="5756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863697">
    <w:abstractNumId w:val="0"/>
  </w:num>
  <w:num w:numId="2" w16cid:durableId="1631206179">
    <w:abstractNumId w:val="1"/>
  </w:num>
  <w:num w:numId="3" w16cid:durableId="568347152">
    <w:abstractNumId w:val="3"/>
  </w:num>
  <w:num w:numId="4" w16cid:durableId="1903523139">
    <w:abstractNumId w:val="4"/>
  </w:num>
  <w:num w:numId="5" w16cid:durableId="47607772">
    <w:abstractNumId w:val="5"/>
  </w:num>
  <w:num w:numId="6" w16cid:durableId="1408959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C77"/>
    <w:rsid w:val="000F473F"/>
    <w:rsid w:val="00112959"/>
    <w:rsid w:val="002C3364"/>
    <w:rsid w:val="00452C77"/>
    <w:rsid w:val="009C7489"/>
    <w:rsid w:val="00A4087A"/>
    <w:rsid w:val="00B456B9"/>
    <w:rsid w:val="00D34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9062E"/>
  <w15:chartTrackingRefBased/>
  <w15:docId w15:val="{74CC9E12-7454-4342-93A1-9E22DDCA1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52C7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452C7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452C7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452C77"/>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452C77"/>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452C77"/>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452C77"/>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52C77"/>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52C77"/>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C7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452C77"/>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452C77"/>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452C77"/>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452C77"/>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452C77"/>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452C77"/>
    <w:rPr>
      <w:rFonts w:cstheme="majorBidi"/>
      <w:b/>
      <w:bCs/>
      <w:color w:val="595959" w:themeColor="text1" w:themeTint="A6"/>
    </w:rPr>
  </w:style>
  <w:style w:type="character" w:customStyle="1" w:styleId="Heading8Char">
    <w:name w:val="Heading 8 Char"/>
    <w:basedOn w:val="DefaultParagraphFont"/>
    <w:link w:val="Heading8"/>
    <w:uiPriority w:val="9"/>
    <w:semiHidden/>
    <w:rsid w:val="00452C77"/>
    <w:rPr>
      <w:rFonts w:cstheme="majorBidi"/>
      <w:color w:val="595959" w:themeColor="text1" w:themeTint="A6"/>
    </w:rPr>
  </w:style>
  <w:style w:type="character" w:customStyle="1" w:styleId="Heading9Char">
    <w:name w:val="Heading 9 Char"/>
    <w:basedOn w:val="DefaultParagraphFont"/>
    <w:link w:val="Heading9"/>
    <w:uiPriority w:val="9"/>
    <w:semiHidden/>
    <w:rsid w:val="00452C77"/>
    <w:rPr>
      <w:rFonts w:eastAsiaTheme="majorEastAsia" w:cstheme="majorBidi"/>
      <w:color w:val="595959" w:themeColor="text1" w:themeTint="A6"/>
    </w:rPr>
  </w:style>
  <w:style w:type="paragraph" w:styleId="Title">
    <w:name w:val="Title"/>
    <w:basedOn w:val="Normal"/>
    <w:next w:val="Normal"/>
    <w:link w:val="TitleChar"/>
    <w:uiPriority w:val="10"/>
    <w:qFormat/>
    <w:rsid w:val="00452C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C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C7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52C77"/>
    <w:pPr>
      <w:spacing w:before="160"/>
      <w:jc w:val="center"/>
    </w:pPr>
    <w:rPr>
      <w:i/>
      <w:iCs/>
      <w:color w:val="404040" w:themeColor="text1" w:themeTint="BF"/>
    </w:rPr>
  </w:style>
  <w:style w:type="character" w:customStyle="1" w:styleId="QuoteChar">
    <w:name w:val="Quote Char"/>
    <w:basedOn w:val="DefaultParagraphFont"/>
    <w:link w:val="Quote"/>
    <w:uiPriority w:val="29"/>
    <w:rsid w:val="00452C77"/>
    <w:rPr>
      <w:i/>
      <w:iCs/>
      <w:color w:val="404040" w:themeColor="text1" w:themeTint="BF"/>
    </w:rPr>
  </w:style>
  <w:style w:type="paragraph" w:styleId="ListParagraph">
    <w:name w:val="List Paragraph"/>
    <w:basedOn w:val="Normal"/>
    <w:uiPriority w:val="34"/>
    <w:qFormat/>
    <w:rsid w:val="00452C77"/>
    <w:pPr>
      <w:ind w:left="720"/>
      <w:contextualSpacing/>
    </w:pPr>
  </w:style>
  <w:style w:type="character" w:styleId="IntenseEmphasis">
    <w:name w:val="Intense Emphasis"/>
    <w:basedOn w:val="DefaultParagraphFont"/>
    <w:uiPriority w:val="21"/>
    <w:qFormat/>
    <w:rsid w:val="00452C77"/>
    <w:rPr>
      <w:i/>
      <w:iCs/>
      <w:color w:val="2F5496" w:themeColor="accent1" w:themeShade="BF"/>
    </w:rPr>
  </w:style>
  <w:style w:type="paragraph" w:styleId="IntenseQuote">
    <w:name w:val="Intense Quote"/>
    <w:basedOn w:val="Normal"/>
    <w:next w:val="Normal"/>
    <w:link w:val="IntenseQuoteChar"/>
    <w:uiPriority w:val="30"/>
    <w:qFormat/>
    <w:rsid w:val="00452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C77"/>
    <w:rPr>
      <w:i/>
      <w:iCs/>
      <w:color w:val="2F5496" w:themeColor="accent1" w:themeShade="BF"/>
    </w:rPr>
  </w:style>
  <w:style w:type="character" w:styleId="IntenseReference">
    <w:name w:val="Intense Reference"/>
    <w:basedOn w:val="DefaultParagraphFont"/>
    <w:uiPriority w:val="32"/>
    <w:qFormat/>
    <w:rsid w:val="00452C77"/>
    <w:rPr>
      <w:b/>
      <w:bCs/>
      <w:smallCaps/>
      <w:color w:val="2F5496" w:themeColor="accent1" w:themeShade="BF"/>
      <w:spacing w:val="5"/>
    </w:rPr>
  </w:style>
  <w:style w:type="paragraph" w:styleId="Header">
    <w:name w:val="header"/>
    <w:basedOn w:val="Normal"/>
    <w:link w:val="HeaderChar"/>
    <w:uiPriority w:val="99"/>
    <w:unhideWhenUsed/>
    <w:rsid w:val="000F473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0F473F"/>
    <w:rPr>
      <w:sz w:val="18"/>
      <w:szCs w:val="18"/>
    </w:rPr>
  </w:style>
  <w:style w:type="paragraph" w:styleId="Footer">
    <w:name w:val="footer"/>
    <w:basedOn w:val="Normal"/>
    <w:link w:val="FooterChar"/>
    <w:uiPriority w:val="99"/>
    <w:unhideWhenUsed/>
    <w:rsid w:val="000F473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0F473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10</Pages>
  <Words>3449</Words>
  <Characters>19665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石翔羽</dc:creator>
  <cp:keywords/>
  <dc:description/>
  <cp:lastModifiedBy>石翔羽</cp:lastModifiedBy>
  <cp:revision>4</cp:revision>
  <dcterms:created xsi:type="dcterms:W3CDTF">2026-05-28T00:10:00Z</dcterms:created>
  <dcterms:modified xsi:type="dcterms:W3CDTF">2026-05-28T01:14:00Z</dcterms:modified>
</cp:coreProperties>
</file>