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D7A8" w14:textId="13614E6A" w:rsidR="00A82B21" w:rsidRDefault="00FE34D3" w:rsidP="00A82B21">
      <w:r>
        <w:t xml:space="preserve">Regression model assumptions: </w:t>
      </w:r>
      <w:hyperlink r:id="rId7" w:history="1">
        <w:r w:rsidRPr="00647992">
          <w:rPr>
            <w:rStyle w:val="Hyperlink"/>
          </w:rPr>
          <w:t>http://www.sthda.com/english/articles/39-regression-model-diagnostics/161-linear-regression-assumptions-and-diagnostics-in-r-essentials/</w:t>
        </w:r>
      </w:hyperlink>
    </w:p>
    <w:p w14:paraId="23BB12C3" w14:textId="41915D85" w:rsidR="00FE34D3" w:rsidRDefault="00FE34D3" w:rsidP="00A82B21">
      <w:r>
        <w:t>How to report regression result:</w:t>
      </w:r>
    </w:p>
    <w:p w14:paraId="00BD92A8" w14:textId="68D51FD9" w:rsidR="00FE34D3" w:rsidRDefault="00E62E13" w:rsidP="00A82B21">
      <w:hyperlink r:id="rId8" w:history="1">
        <w:r w:rsidR="00FE34D3" w:rsidRPr="00647992">
          <w:rPr>
            <w:rStyle w:val="Hyperlink"/>
          </w:rPr>
          <w:t>https://www.statology.org/how-to-report-regression-results/</w:t>
        </w:r>
      </w:hyperlink>
    </w:p>
    <w:p w14:paraId="7FC8C9E4" w14:textId="77777777" w:rsidR="00FE34D3" w:rsidRDefault="00FE34D3" w:rsidP="00A82B21"/>
    <w:p w14:paraId="07CF2459" w14:textId="77777777" w:rsidR="00A82B21" w:rsidRDefault="00A82B21" w:rsidP="00A82B21">
      <w:pPr>
        <w:pStyle w:val="NormalWeb"/>
        <w:shd w:val="clear" w:color="auto" w:fill="FDF9E4"/>
        <w:spacing w:before="0" w:beforeAutospacing="0" w:after="168" w:afterAutospacing="0"/>
        <w:rPr>
          <w:rFonts w:ascii="Arial" w:hAnsi="Arial" w:cs="Arial"/>
          <w:color w:val="C19954"/>
          <w:sz w:val="20"/>
          <w:szCs w:val="20"/>
        </w:rPr>
      </w:pPr>
      <w:r>
        <w:rPr>
          <w:rFonts w:ascii="Arial" w:hAnsi="Arial" w:cs="Arial"/>
          <w:color w:val="C19954"/>
          <w:sz w:val="20"/>
          <w:szCs w:val="20"/>
        </w:rPr>
        <w:t>When data points have high Cook’s distance scores and are to the upper or lower right of the leverage plot, they have leverage meaning they are influential to the regression results. The regression results will be altered if we exclude those cases.</w:t>
      </w:r>
    </w:p>
    <w:p w14:paraId="30B2156B" w14:textId="77777777" w:rsidR="00A82B21" w:rsidRDefault="00A82B21" w:rsidP="00A82B21">
      <w:pPr>
        <w:pStyle w:val="NormalWeb"/>
        <w:shd w:val="clear" w:color="auto" w:fill="E0F1D9"/>
        <w:spacing w:before="0" w:beforeAutospacing="0" w:after="168" w:afterAutospacing="0"/>
        <w:rPr>
          <w:rFonts w:ascii="Arial" w:hAnsi="Arial" w:cs="Arial"/>
          <w:color w:val="478948"/>
          <w:sz w:val="20"/>
          <w:szCs w:val="20"/>
        </w:rPr>
      </w:pPr>
      <w:r>
        <w:rPr>
          <w:rFonts w:ascii="Arial" w:hAnsi="Arial" w:cs="Arial"/>
          <w:color w:val="478948"/>
          <w:sz w:val="20"/>
          <w:szCs w:val="20"/>
        </w:rPr>
        <w:t>In our example, the data don’t present any influential points. Cook’s distance lines (a red dashed line) are not shown on the Residuals vs Leverage plot because all points are well inside of the Cook’s distance lines.</w:t>
      </w:r>
    </w:p>
    <w:p w14:paraId="6E93282A" w14:textId="6E8C52F8" w:rsidR="00A82B21" w:rsidRDefault="00A82B21"/>
    <w:p w14:paraId="1857F559" w14:textId="0CF341FD" w:rsidR="00FE34D3" w:rsidRDefault="00FE34D3">
      <w:r>
        <w:t xml:space="preserve">Multiple regression was also performed, but none of the additional variables were significant, nor did the multiple regression model have higher R^2 value. </w:t>
      </w:r>
    </w:p>
    <w:p w14:paraId="3CFC4075" w14:textId="3441A63E" w:rsidR="00705DD3" w:rsidRDefault="00611B27" w:rsidP="00CE4909">
      <w:pPr>
        <w:rPr>
          <w:rFonts w:cstheme="minorHAnsi"/>
          <w:color w:val="000000"/>
          <w:sz w:val="24"/>
          <w:szCs w:val="24"/>
          <w:bdr w:val="none" w:sz="0" w:space="0" w:color="auto" w:frame="1"/>
        </w:rPr>
      </w:pPr>
      <w:r>
        <w:t xml:space="preserve">We further </w:t>
      </w:r>
      <w:r w:rsidR="00CE4909">
        <w:t>examined</w:t>
      </w:r>
      <w:r>
        <w:t xml:space="preserve"> the relationship between Step 1 and Step 2 scores </w:t>
      </w:r>
      <w:r w:rsidR="00CE4909">
        <w:t xml:space="preserve">by testing whether Step 2 scores could predict Step 1 scores with statistical significance. To do so, we built a simple linear regression model. </w:t>
      </w:r>
      <w:proofErr w:type="gramStart"/>
      <w:r w:rsidR="00CE4909">
        <w:t>All of</w:t>
      </w:r>
      <w:proofErr w:type="gramEnd"/>
      <w:r w:rsidR="00CE4909">
        <w:t xml:space="preserve"> the a</w:t>
      </w:r>
      <w:r w:rsidR="00F57119">
        <w:rPr>
          <w:rFonts w:cstheme="minorHAnsi"/>
          <w:color w:val="000000"/>
          <w:bdr w:val="none" w:sz="0" w:space="0" w:color="auto" w:frame="1"/>
        </w:rPr>
        <w:t xml:space="preserve">ssumptions </w:t>
      </w:r>
      <w:r w:rsidR="00CE4909">
        <w:rPr>
          <w:rFonts w:cstheme="minorHAnsi"/>
          <w:color w:val="000000"/>
          <w:bdr w:val="none" w:sz="0" w:space="0" w:color="auto" w:frame="1"/>
        </w:rPr>
        <w:t>for</w:t>
      </w:r>
      <w:r w:rsidR="00F57119">
        <w:rPr>
          <w:rFonts w:cstheme="minorHAnsi"/>
          <w:color w:val="000000"/>
          <w:bdr w:val="none" w:sz="0" w:space="0" w:color="auto" w:frame="1"/>
        </w:rPr>
        <w:t xml:space="preserve"> linear regression were checked</w:t>
      </w:r>
      <w:r w:rsidR="00CE4909">
        <w:rPr>
          <w:rFonts w:cstheme="minorHAnsi"/>
          <w:color w:val="000000"/>
          <w:bdr w:val="none" w:sz="0" w:space="0" w:color="auto" w:frame="1"/>
        </w:rPr>
        <w:t xml:space="preserve"> and met</w:t>
      </w:r>
      <w:r w:rsidR="00F57119">
        <w:rPr>
          <w:rFonts w:cstheme="minorHAnsi"/>
          <w:color w:val="000000"/>
          <w:bdr w:val="none" w:sz="0" w:space="0" w:color="auto" w:frame="1"/>
        </w:rPr>
        <w:t>, including linearity of the data, normality of residuals, homoscedasticity, and independence of residual errors</w:t>
      </w:r>
      <w:r w:rsidR="00CE4909">
        <w:rPr>
          <w:rFonts w:cstheme="minorHAnsi"/>
          <w:color w:val="000000"/>
          <w:bdr w:val="none" w:sz="0" w:space="0" w:color="auto" w:frame="1"/>
        </w:rPr>
        <w:t xml:space="preserve">. See Figure XXX for diagnostic plots. </w:t>
      </w:r>
      <w:r w:rsidR="00705DD3">
        <w:rPr>
          <w:rFonts w:cstheme="minorHAnsi"/>
          <w:color w:val="000000"/>
          <w:sz w:val="24"/>
          <w:szCs w:val="24"/>
          <w:bdr w:val="none" w:sz="0" w:space="0" w:color="auto" w:frame="1"/>
        </w:rPr>
        <w:t xml:space="preserve">After fitting the regression model, we found that Step 2 score significantly predicted Step 1 score </w:t>
      </w:r>
      <w:r w:rsidR="00705DD3" w:rsidRPr="008324C2">
        <w:rPr>
          <w:rFonts w:cstheme="minorHAnsi"/>
          <w:color w:val="000000"/>
          <w:sz w:val="24"/>
          <w:szCs w:val="24"/>
          <w:bdr w:val="none" w:sz="0" w:space="0" w:color="auto" w:frame="1"/>
        </w:rPr>
        <w:t xml:space="preserve">(β = </w:t>
      </w:r>
      <w:r w:rsidR="00705DD3">
        <w:rPr>
          <w:rFonts w:cstheme="minorHAnsi"/>
          <w:color w:val="000000"/>
          <w:bdr w:val="none" w:sz="0" w:space="0" w:color="auto" w:frame="1"/>
        </w:rPr>
        <w:t>0.69</w:t>
      </w:r>
      <w:r w:rsidR="00705DD3" w:rsidRPr="008324C2">
        <w:rPr>
          <w:rFonts w:cstheme="minorHAnsi"/>
          <w:color w:val="000000"/>
          <w:sz w:val="24"/>
          <w:szCs w:val="24"/>
          <w:bdr w:val="none" w:sz="0" w:space="0" w:color="auto" w:frame="1"/>
        </w:rPr>
        <w:t xml:space="preserve">, p &lt; </w:t>
      </w:r>
      <w:r w:rsidR="00705DD3">
        <w:rPr>
          <w:rFonts w:cstheme="minorHAnsi"/>
          <w:color w:val="000000"/>
          <w:bdr w:val="none" w:sz="0" w:space="0" w:color="auto" w:frame="1"/>
        </w:rPr>
        <w:t>2e-16</w:t>
      </w:r>
      <w:r w:rsidR="00705DD3" w:rsidRPr="008324C2">
        <w:rPr>
          <w:rFonts w:cstheme="minorHAnsi"/>
          <w:color w:val="000000"/>
          <w:sz w:val="24"/>
          <w:szCs w:val="24"/>
          <w:bdr w:val="none" w:sz="0" w:space="0" w:color="auto" w:frame="1"/>
        </w:rPr>
        <w:t>).</w:t>
      </w:r>
      <w:r w:rsidR="00705DD3">
        <w:rPr>
          <w:rFonts w:cstheme="minorHAnsi"/>
          <w:color w:val="000000"/>
          <w:sz w:val="24"/>
          <w:szCs w:val="24"/>
          <w:bdr w:val="none" w:sz="0" w:space="0" w:color="auto" w:frame="1"/>
        </w:rPr>
        <w:t xml:space="preserve"> The overall model was </w:t>
      </w:r>
    </w:p>
    <w:p w14:paraId="559354EA" w14:textId="54B845D5" w:rsidR="00705DD3" w:rsidRDefault="00705DD3" w:rsidP="00CE4909">
      <w:pPr>
        <w:rPr>
          <w:rFonts w:cstheme="minorHAnsi"/>
          <w:color w:val="000000"/>
          <w:sz w:val="24"/>
          <w:szCs w:val="24"/>
          <w:bdr w:val="none" w:sz="0" w:space="0" w:color="auto" w:frame="1"/>
        </w:rPr>
      </w:pPr>
      <m:oMathPara>
        <m:oMath>
          <m:r>
            <w:rPr>
              <w:rFonts w:ascii="Cambria Math" w:hAnsi="Cambria Math" w:cstheme="minorHAnsi"/>
              <w:color w:val="000000"/>
              <w:bdr w:val="none" w:sz="0" w:space="0" w:color="auto" w:frame="1"/>
            </w:rPr>
            <m:t>Step 1 score = 69.78 + 0.69 * (Step 2 score)</m:t>
          </m:r>
        </m:oMath>
      </m:oMathPara>
    </w:p>
    <w:p w14:paraId="459E3959" w14:textId="281CD6E2" w:rsidR="00705DD3" w:rsidRPr="00705DD3" w:rsidRDefault="00705DD3" w:rsidP="00CE4909">
      <w:pPr>
        <w:rPr>
          <w:rFonts w:cstheme="minorHAnsi"/>
          <w:color w:val="000000"/>
          <w:sz w:val="24"/>
          <w:szCs w:val="24"/>
          <w:bdr w:val="none" w:sz="0" w:space="0" w:color="auto" w:frame="1"/>
        </w:rPr>
      </w:pPr>
      <w:r>
        <w:rPr>
          <w:rFonts w:cstheme="minorHAnsi"/>
          <w:color w:val="000000"/>
          <w:sz w:val="24"/>
          <w:szCs w:val="24"/>
          <w:bdr w:val="none" w:sz="0" w:space="0" w:color="auto" w:frame="1"/>
        </w:rPr>
        <w:t xml:space="preserve">, with statistical significance </w:t>
      </w:r>
      <w:r w:rsidR="00FE34D3" w:rsidRPr="008324C2">
        <w:rPr>
          <w:rFonts w:cstheme="minorHAnsi"/>
          <w:color w:val="000000"/>
          <w:sz w:val="24"/>
          <w:szCs w:val="24"/>
          <w:bdr w:val="none" w:sz="0" w:space="0" w:color="auto" w:frame="1"/>
        </w:rPr>
        <w:t>(R</w:t>
      </w:r>
      <w:r w:rsidR="00FE34D3" w:rsidRPr="008324C2">
        <w:rPr>
          <w:rFonts w:cstheme="minorHAnsi"/>
          <w:color w:val="000000"/>
          <w:sz w:val="20"/>
          <w:szCs w:val="20"/>
          <w:bdr w:val="none" w:sz="0" w:space="0" w:color="auto" w:frame="1"/>
          <w:vertAlign w:val="superscript"/>
        </w:rPr>
        <w:t>2</w:t>
      </w:r>
      <w:r w:rsidR="00FE34D3" w:rsidRPr="008324C2">
        <w:rPr>
          <w:rFonts w:cstheme="minorHAnsi"/>
          <w:color w:val="000000"/>
          <w:sz w:val="24"/>
          <w:szCs w:val="24"/>
          <w:bdr w:val="none" w:sz="0" w:space="0" w:color="auto" w:frame="1"/>
        </w:rPr>
        <w:t> = .</w:t>
      </w:r>
      <w:r w:rsidR="001B061B">
        <w:rPr>
          <w:rFonts w:cstheme="minorHAnsi"/>
          <w:color w:val="000000"/>
          <w:bdr w:val="none" w:sz="0" w:space="0" w:color="auto" w:frame="1"/>
        </w:rPr>
        <w:t>44</w:t>
      </w:r>
      <w:r w:rsidR="00FE34D3" w:rsidRPr="008324C2">
        <w:rPr>
          <w:rFonts w:cstheme="minorHAnsi"/>
          <w:color w:val="000000"/>
          <w:sz w:val="24"/>
          <w:szCs w:val="24"/>
          <w:bdr w:val="none" w:sz="0" w:space="0" w:color="auto" w:frame="1"/>
        </w:rPr>
        <w:t xml:space="preserve">, </w:t>
      </w:r>
      <w:proofErr w:type="gramStart"/>
      <w:r w:rsidR="00FE34D3" w:rsidRPr="008324C2">
        <w:rPr>
          <w:rFonts w:cstheme="minorHAnsi"/>
          <w:color w:val="000000"/>
          <w:sz w:val="24"/>
          <w:szCs w:val="24"/>
          <w:bdr w:val="none" w:sz="0" w:space="0" w:color="auto" w:frame="1"/>
        </w:rPr>
        <w:t>F(</w:t>
      </w:r>
      <w:proofErr w:type="gramEnd"/>
      <w:r w:rsidR="00FE34D3" w:rsidRPr="008324C2">
        <w:rPr>
          <w:rFonts w:cstheme="minorHAnsi"/>
          <w:color w:val="000000"/>
          <w:sz w:val="24"/>
          <w:szCs w:val="24"/>
          <w:bdr w:val="none" w:sz="0" w:space="0" w:color="auto" w:frame="1"/>
        </w:rPr>
        <w:t xml:space="preserve">1, </w:t>
      </w:r>
      <w:r w:rsidR="001B061B">
        <w:rPr>
          <w:rFonts w:cstheme="minorHAnsi"/>
          <w:color w:val="000000"/>
          <w:bdr w:val="none" w:sz="0" w:space="0" w:color="auto" w:frame="1"/>
        </w:rPr>
        <w:t>796</w:t>
      </w:r>
      <w:r w:rsidR="00FE34D3" w:rsidRPr="008324C2">
        <w:rPr>
          <w:rFonts w:cstheme="minorHAnsi"/>
          <w:color w:val="000000"/>
          <w:sz w:val="24"/>
          <w:szCs w:val="24"/>
          <w:bdr w:val="none" w:sz="0" w:space="0" w:color="auto" w:frame="1"/>
        </w:rPr>
        <w:t xml:space="preserve">) = </w:t>
      </w:r>
      <w:r w:rsidR="001B061B">
        <w:rPr>
          <w:rFonts w:cstheme="minorHAnsi"/>
          <w:color w:val="000000"/>
          <w:bdr w:val="none" w:sz="0" w:space="0" w:color="auto" w:frame="1"/>
        </w:rPr>
        <w:t>632.6</w:t>
      </w:r>
      <w:r w:rsidR="00FE34D3" w:rsidRPr="008324C2">
        <w:rPr>
          <w:rFonts w:cstheme="minorHAnsi"/>
          <w:color w:val="000000"/>
          <w:sz w:val="24"/>
          <w:szCs w:val="24"/>
          <w:bdr w:val="none" w:sz="0" w:space="0" w:color="auto" w:frame="1"/>
        </w:rPr>
        <w:t xml:space="preserve">, p &lt; </w:t>
      </w:r>
      <w:r w:rsidR="001B061B">
        <w:rPr>
          <w:rFonts w:cstheme="minorHAnsi"/>
          <w:color w:val="000000"/>
          <w:bdr w:val="none" w:sz="0" w:space="0" w:color="auto" w:frame="1"/>
        </w:rPr>
        <w:t>2.2e-16</w:t>
      </w:r>
      <w:r w:rsidR="00FE34D3" w:rsidRPr="008324C2">
        <w:rPr>
          <w:rFonts w:cstheme="minorHAnsi"/>
          <w:color w:val="000000"/>
          <w:sz w:val="24"/>
          <w:szCs w:val="24"/>
          <w:bdr w:val="none" w:sz="0" w:space="0" w:color="auto" w:frame="1"/>
        </w:rPr>
        <w:t>).</w:t>
      </w:r>
      <w:r w:rsidR="001B061B">
        <w:rPr>
          <w:rFonts w:cstheme="minorHAnsi"/>
          <w:color w:val="000000"/>
          <w:bdr w:val="none" w:sz="0" w:space="0" w:color="auto" w:frame="1"/>
        </w:rPr>
        <w:t xml:space="preserve"> </w:t>
      </w:r>
    </w:p>
    <w:p w14:paraId="4EF03C39" w14:textId="1ECD845C" w:rsidR="00FE34D3" w:rsidRDefault="00F57119">
      <w:r w:rsidRPr="00F57119">
        <w:rPr>
          <w:noProof/>
        </w:rPr>
        <w:drawing>
          <wp:inline distT="0" distB="0" distL="0" distR="0" wp14:anchorId="4D5B8581" wp14:editId="50EF5EF2">
            <wp:extent cx="5943600" cy="308737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5943600" cy="3087370"/>
                    </a:xfrm>
                    <a:prstGeom prst="rect">
                      <a:avLst/>
                    </a:prstGeom>
                  </pic:spPr>
                </pic:pic>
              </a:graphicData>
            </a:graphic>
          </wp:inline>
        </w:drawing>
      </w:r>
    </w:p>
    <w:p w14:paraId="37E13118" w14:textId="5A636ABC" w:rsidR="00FE34D3" w:rsidRDefault="00FE34D3">
      <w:r w:rsidRPr="00FE34D3">
        <w:rPr>
          <w:noProof/>
        </w:rPr>
        <w:lastRenderedPageBreak/>
        <w:drawing>
          <wp:inline distT="0" distB="0" distL="0" distR="0" wp14:anchorId="114FD65F" wp14:editId="33F77B84">
            <wp:extent cx="3182662" cy="1765426"/>
            <wp:effectExtent l="0" t="0" r="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3197599" cy="1773712"/>
                    </a:xfrm>
                    <a:prstGeom prst="rect">
                      <a:avLst/>
                    </a:prstGeom>
                  </pic:spPr>
                </pic:pic>
              </a:graphicData>
            </a:graphic>
          </wp:inline>
        </w:drawing>
      </w:r>
    </w:p>
    <w:p w14:paraId="3302A1C3" w14:textId="46386197" w:rsidR="005F6416" w:rsidRDefault="005F6416">
      <w:r w:rsidRPr="005F6416">
        <w:rPr>
          <w:noProof/>
        </w:rPr>
        <w:drawing>
          <wp:inline distT="0" distB="0" distL="0" distR="0" wp14:anchorId="7C04BCC9" wp14:editId="649CEDE4">
            <wp:extent cx="5943600" cy="44913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5943600" cy="4491355"/>
                    </a:xfrm>
                    <a:prstGeom prst="rect">
                      <a:avLst/>
                    </a:prstGeom>
                  </pic:spPr>
                </pic:pic>
              </a:graphicData>
            </a:graphic>
          </wp:inline>
        </w:drawing>
      </w:r>
    </w:p>
    <w:p w14:paraId="1A21D7E4" w14:textId="77777777" w:rsidR="00A82B21" w:rsidRDefault="00A82B21"/>
    <w:p w14:paraId="2D117573" w14:textId="1E78C4C7" w:rsidR="00685EC1" w:rsidRDefault="00685EC1">
      <w:r>
        <w:t xml:space="preserve">Step </w:t>
      </w:r>
    </w:p>
    <w:p w14:paraId="761D0CE0" w14:textId="5383E3FC" w:rsidR="00685EC1" w:rsidRDefault="00685EC1">
      <w:r>
        <w:t>Discussion</w:t>
      </w:r>
    </w:p>
    <w:p w14:paraId="7300717F" w14:textId="48D65860" w:rsidR="00685EC1" w:rsidRDefault="00BC05F1" w:rsidP="00685EC1">
      <w:pPr>
        <w:pStyle w:val="ListParagraph"/>
        <w:numPr>
          <w:ilvl w:val="0"/>
          <w:numId w:val="1"/>
        </w:numPr>
      </w:pPr>
      <w:r>
        <w:t>S</w:t>
      </w:r>
      <w:r w:rsidR="00685EC1" w:rsidRPr="00685EC1">
        <w:t>ummary of our results and its context</w:t>
      </w:r>
    </w:p>
    <w:p w14:paraId="5AF3BA0B" w14:textId="02E3ECB0" w:rsidR="00BC05F1" w:rsidRDefault="00BC05F1" w:rsidP="00BC05F1">
      <w:pPr>
        <w:pStyle w:val="ListParagraph"/>
        <w:numPr>
          <w:ilvl w:val="1"/>
          <w:numId w:val="1"/>
        </w:numPr>
      </w:pPr>
      <w:r w:rsidRPr="00DE03A2">
        <w:t>Step 2 scores (R = 0.67, p &lt; 2.2e-16) represented the only variable with a correlation coefficient of R &gt; |0.1|. This remained true when segmenting groups of applicants with Step 1 scores below 220, above 250, and between 220-250.</w:t>
      </w:r>
    </w:p>
    <w:p w14:paraId="53D21F10" w14:textId="4A2AD2F1" w:rsidR="00685EC1" w:rsidRDefault="00BC05F1" w:rsidP="00685EC1">
      <w:pPr>
        <w:pStyle w:val="ListParagraph"/>
        <w:numPr>
          <w:ilvl w:val="0"/>
          <w:numId w:val="1"/>
        </w:numPr>
      </w:pPr>
      <w:r>
        <w:lastRenderedPageBreak/>
        <w:t>Significance of our findings</w:t>
      </w:r>
    </w:p>
    <w:p w14:paraId="32DBF31D" w14:textId="77777777" w:rsidR="00BC05F1" w:rsidRDefault="00BC05F1" w:rsidP="00BC05F1">
      <w:pPr>
        <w:pStyle w:val="ListParagraph"/>
        <w:numPr>
          <w:ilvl w:val="1"/>
          <w:numId w:val="1"/>
        </w:numPr>
      </w:pPr>
    </w:p>
    <w:p w14:paraId="5F558F2B" w14:textId="2507AF47" w:rsidR="00BC05F1" w:rsidRDefault="00BC05F1" w:rsidP="00BC05F1">
      <w:pPr>
        <w:pStyle w:val="ListParagraph"/>
        <w:numPr>
          <w:ilvl w:val="1"/>
          <w:numId w:val="1"/>
        </w:numPr>
      </w:pPr>
      <w:r w:rsidRPr="00DE03A2">
        <w:t>Step 1 scores were moderately correlated with Step 2 scores, but not with any other variable. This poses a challenge for residency programs in their evaluation of applicants, as Step 2 scores are not currently required at the time of application and therefore not able to screen every applicant. Additionally, screening based on Step 2 scores will select a different cohort than screening based on Step 1 scores. In future match cycles, residency programs will need to identify new methods to screen candidates.</w:t>
      </w:r>
    </w:p>
    <w:p w14:paraId="60C74468" w14:textId="77777777" w:rsidR="00BC05F1" w:rsidRDefault="00BC05F1" w:rsidP="00BC05F1">
      <w:pPr>
        <w:pStyle w:val="ListParagraph"/>
        <w:ind w:left="1440"/>
      </w:pPr>
    </w:p>
    <w:p w14:paraId="4DAEB069" w14:textId="6B1FF4CC" w:rsidR="00685EC1" w:rsidRDefault="00685EC1" w:rsidP="00685EC1">
      <w:pPr>
        <w:pStyle w:val="ListParagraph"/>
        <w:numPr>
          <w:ilvl w:val="0"/>
          <w:numId w:val="1"/>
        </w:numPr>
      </w:pPr>
      <w:r w:rsidRPr="00685EC1">
        <w:t>acknowledg</w:t>
      </w:r>
      <w:r>
        <w:t>e</w:t>
      </w:r>
      <w:r w:rsidRPr="00685EC1">
        <w:t xml:space="preserve"> limitations of our study</w:t>
      </w:r>
    </w:p>
    <w:p w14:paraId="7478AFEB" w14:textId="77777777" w:rsidR="00685EC1" w:rsidRDefault="00685EC1" w:rsidP="00685EC1">
      <w:pPr>
        <w:pStyle w:val="ListParagraph"/>
        <w:numPr>
          <w:ilvl w:val="0"/>
          <w:numId w:val="1"/>
        </w:numPr>
      </w:pPr>
      <w:r>
        <w:t>suggest</w:t>
      </w:r>
      <w:r w:rsidRPr="00685EC1">
        <w:t xml:space="preserve"> directions that future studies could go in to further investigate the topic</w:t>
      </w:r>
    </w:p>
    <w:p w14:paraId="4B64F029" w14:textId="586775A3" w:rsidR="00CB1D59" w:rsidRDefault="00E62E13" w:rsidP="00685EC1"/>
    <w:p w14:paraId="1418C090" w14:textId="14A01FB1" w:rsidR="001D76DE" w:rsidRDefault="001D76DE" w:rsidP="00685EC1"/>
    <w:p w14:paraId="58AEBF99" w14:textId="77777777" w:rsidR="001D76DE" w:rsidRDefault="001D76DE" w:rsidP="001D76DE">
      <w:r w:rsidRPr="00DE03A2">
        <w:rPr>
          <w:b/>
          <w:bCs/>
        </w:rPr>
        <w:t>Introduction: </w:t>
      </w:r>
      <w:r w:rsidRPr="00DE03A2">
        <w:t>Beginning in 2022, USMLE Step 1 scores will be reported as Pass/Fail. Historically, numeric Step 1 scores have been an important component of residency applications, representing one of the few metrics standardized across all applicants. As such, they have frequently been used by programs as a cutoff to screen candidates for interview invitations. With this dramatic change, residency programs will require alternative ways to screen and select candidates.</w:t>
      </w:r>
      <w:r w:rsidRPr="00DE03A2">
        <w:rPr>
          <w:b/>
          <w:bCs/>
        </w:rPr>
        <w:br/>
        <w:t>Methods: </w:t>
      </w:r>
      <w:r w:rsidRPr="00DE03A2">
        <w:t>Otolaryngology applications to an academic medical center for the 2019-20 and 2020-21 ERAS cycles were reviewed. Board scores and quantitative research data (including number of journal articles/abstracts, book chapters, poster/oral presentations, and online publications) were extracted. Correlation coefficients were determined comparing applicant Step 1 scores to their corresponding Step 2 scores and quantity of research.</w:t>
      </w:r>
      <w:r w:rsidRPr="00DE03A2">
        <w:rPr>
          <w:b/>
          <w:bCs/>
        </w:rPr>
        <w:br/>
        <w:t>Results: </w:t>
      </w:r>
      <w:r w:rsidRPr="00DE03A2">
        <w:t>Step 2 scores (R = 0.67, p &lt; 2.2e-16) represented the only variable with a correlation coefficient of R &gt; |0.1|. This remained true when segmenting groups of applicants with Step 1 scores below 220, above 250, and between 220-250.</w:t>
      </w:r>
      <w:r w:rsidRPr="00DE03A2">
        <w:rPr>
          <w:b/>
          <w:bCs/>
        </w:rPr>
        <w:br/>
        <w:t>Conclusion: </w:t>
      </w:r>
      <w:r w:rsidRPr="00DE03A2">
        <w:t>Step 1 scores were moderately correlated with Step 2 scores, but not with any other variable. This poses a challenge for residency programs in their evaluation of applicants, as Step 2 scores are not currently required at the time of application and therefore not able to screen every applicant. Additionally, screening based on Step 2 scores will select a different cohort than screening based on Step 1 scores. In future match cycles, residency programs will need to identify new methods to screen candidates.</w:t>
      </w:r>
    </w:p>
    <w:p w14:paraId="5DEC98CC" w14:textId="293C7132" w:rsidR="001D76DE" w:rsidRDefault="001D76DE" w:rsidP="00685EC1"/>
    <w:p w14:paraId="4396BDBA" w14:textId="77777777" w:rsidR="007D6E51" w:rsidRDefault="007D6E51" w:rsidP="007D6E5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8F96928" w14:textId="77777777" w:rsidR="007D6E51" w:rsidRDefault="007D6E51" w:rsidP="007D6E5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Step 1: (</w:t>
      </w:r>
      <w:r>
        <w:rPr>
          <w:rStyle w:val="normaltextrun"/>
          <w:rFonts w:ascii="Calibri" w:hAnsi="Calibri" w:cs="Calibri"/>
          <w:i/>
          <w:iCs/>
          <w:sz w:val="22"/>
          <w:szCs w:val="22"/>
        </w:rPr>
        <w:t xml:space="preserve">M </w:t>
      </w:r>
      <w:r>
        <w:rPr>
          <w:rStyle w:val="normaltextrun"/>
          <w:rFonts w:ascii="Calibri" w:hAnsi="Calibri" w:cs="Calibri"/>
          <w:sz w:val="22"/>
          <w:szCs w:val="22"/>
        </w:rPr>
        <w:t xml:space="preserve">= 245.2, </w:t>
      </w:r>
      <w:r>
        <w:rPr>
          <w:rStyle w:val="normaltextrun"/>
          <w:rFonts w:ascii="Calibri" w:hAnsi="Calibri" w:cs="Calibri"/>
          <w:i/>
          <w:iCs/>
          <w:sz w:val="22"/>
          <w:szCs w:val="22"/>
        </w:rPr>
        <w:t xml:space="preserve">SD </w:t>
      </w:r>
      <w:r>
        <w:rPr>
          <w:rStyle w:val="normaltextrun"/>
          <w:rFonts w:ascii="Calibri" w:hAnsi="Calibri" w:cs="Calibri"/>
          <w:sz w:val="22"/>
          <w:szCs w:val="22"/>
        </w:rPr>
        <w:t>= 12.68, NA = 7)</w:t>
      </w:r>
      <w:r>
        <w:rPr>
          <w:rStyle w:val="eop"/>
          <w:rFonts w:ascii="Calibri" w:hAnsi="Calibri" w:cs="Calibri"/>
          <w:sz w:val="22"/>
          <w:szCs w:val="22"/>
        </w:rPr>
        <w:t> </w:t>
      </w:r>
    </w:p>
    <w:p w14:paraId="6343DC2D" w14:textId="77777777" w:rsidR="007D6E51" w:rsidRDefault="007D6E51" w:rsidP="007D6E5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Given practical relevance, four metrics were examined in detail and their scatterplots with correlations: Step 2 scores (</w:t>
      </w:r>
      <w:r>
        <w:rPr>
          <w:rStyle w:val="normaltextrun"/>
          <w:rFonts w:ascii="Calibri" w:hAnsi="Calibri" w:cs="Calibri"/>
          <w:i/>
          <w:iCs/>
          <w:sz w:val="22"/>
          <w:szCs w:val="22"/>
        </w:rPr>
        <w:t xml:space="preserve">M </w:t>
      </w:r>
      <w:r>
        <w:rPr>
          <w:rStyle w:val="normaltextrun"/>
          <w:rFonts w:ascii="Calibri" w:hAnsi="Calibri" w:cs="Calibri"/>
          <w:sz w:val="22"/>
          <w:szCs w:val="22"/>
        </w:rPr>
        <w:t xml:space="preserve">=253, </w:t>
      </w:r>
      <w:r>
        <w:rPr>
          <w:rStyle w:val="normaltextrun"/>
          <w:rFonts w:ascii="Calibri" w:hAnsi="Calibri" w:cs="Calibri"/>
          <w:i/>
          <w:iCs/>
          <w:sz w:val="22"/>
          <w:szCs w:val="22"/>
        </w:rPr>
        <w:t>SD</w:t>
      </w:r>
      <w:r>
        <w:rPr>
          <w:rStyle w:val="normaltextrun"/>
          <w:rFonts w:ascii="Calibri" w:hAnsi="Calibri" w:cs="Calibri"/>
          <w:sz w:val="22"/>
          <w:szCs w:val="22"/>
        </w:rPr>
        <w:t xml:space="preserve"> = 12.37, NA = 130), number of peer reviewed articles (</w:t>
      </w:r>
      <w:r>
        <w:rPr>
          <w:rStyle w:val="normaltextrun"/>
          <w:rFonts w:ascii="Calibri" w:hAnsi="Calibri" w:cs="Calibri"/>
          <w:i/>
          <w:iCs/>
          <w:sz w:val="22"/>
          <w:szCs w:val="22"/>
        </w:rPr>
        <w:t xml:space="preserve">M </w:t>
      </w:r>
      <w:r>
        <w:rPr>
          <w:rStyle w:val="normaltextrun"/>
          <w:rFonts w:ascii="Calibri" w:hAnsi="Calibri" w:cs="Calibri"/>
          <w:sz w:val="22"/>
          <w:szCs w:val="22"/>
        </w:rPr>
        <w:t xml:space="preserve">= 3.17, </w:t>
      </w:r>
      <w:r>
        <w:rPr>
          <w:rStyle w:val="normaltextrun"/>
          <w:rFonts w:ascii="Calibri" w:hAnsi="Calibri" w:cs="Calibri"/>
          <w:i/>
          <w:iCs/>
          <w:sz w:val="22"/>
          <w:szCs w:val="22"/>
        </w:rPr>
        <w:t xml:space="preserve">SD </w:t>
      </w:r>
      <w:r>
        <w:rPr>
          <w:rStyle w:val="normaltextrun"/>
          <w:rFonts w:ascii="Calibri" w:hAnsi="Calibri" w:cs="Calibri"/>
          <w:sz w:val="22"/>
          <w:szCs w:val="22"/>
        </w:rPr>
        <w:t>= 3.82), number of oral presentations (</w:t>
      </w:r>
      <w:r>
        <w:rPr>
          <w:rStyle w:val="normaltextrun"/>
          <w:rFonts w:ascii="Calibri" w:hAnsi="Calibri" w:cs="Calibri"/>
          <w:i/>
          <w:iCs/>
          <w:sz w:val="22"/>
          <w:szCs w:val="22"/>
        </w:rPr>
        <w:t xml:space="preserve">M </w:t>
      </w:r>
      <w:r>
        <w:rPr>
          <w:rStyle w:val="normaltextrun"/>
          <w:rFonts w:ascii="Calibri" w:hAnsi="Calibri" w:cs="Calibri"/>
          <w:sz w:val="22"/>
          <w:szCs w:val="22"/>
        </w:rPr>
        <w:t xml:space="preserve">= 2.54, </w:t>
      </w:r>
      <w:r>
        <w:rPr>
          <w:rStyle w:val="normaltextrun"/>
          <w:rFonts w:ascii="Calibri" w:hAnsi="Calibri" w:cs="Calibri"/>
          <w:i/>
          <w:iCs/>
          <w:sz w:val="22"/>
          <w:szCs w:val="22"/>
        </w:rPr>
        <w:t xml:space="preserve">SD </w:t>
      </w:r>
      <w:r>
        <w:rPr>
          <w:rStyle w:val="normaltextrun"/>
          <w:rFonts w:ascii="Calibri" w:hAnsi="Calibri" w:cs="Calibri"/>
          <w:sz w:val="22"/>
          <w:szCs w:val="22"/>
        </w:rPr>
        <w:t>= 2.85), and number of posters (</w:t>
      </w:r>
      <w:r>
        <w:rPr>
          <w:rStyle w:val="normaltextrun"/>
          <w:rFonts w:ascii="Calibri" w:hAnsi="Calibri" w:cs="Calibri"/>
          <w:i/>
          <w:iCs/>
          <w:sz w:val="22"/>
          <w:szCs w:val="22"/>
        </w:rPr>
        <w:t xml:space="preserve">M </w:t>
      </w:r>
      <w:r>
        <w:rPr>
          <w:rStyle w:val="normaltextrun"/>
          <w:rFonts w:ascii="Calibri" w:hAnsi="Calibri" w:cs="Calibri"/>
          <w:sz w:val="22"/>
          <w:szCs w:val="22"/>
        </w:rPr>
        <w:t xml:space="preserve">= 4.542, </w:t>
      </w:r>
      <w:r>
        <w:rPr>
          <w:rStyle w:val="normaltextrun"/>
          <w:rFonts w:ascii="Calibri" w:hAnsi="Calibri" w:cs="Calibri"/>
          <w:i/>
          <w:iCs/>
          <w:sz w:val="22"/>
          <w:szCs w:val="22"/>
        </w:rPr>
        <w:t xml:space="preserve">SD </w:t>
      </w:r>
      <w:r>
        <w:rPr>
          <w:rStyle w:val="normaltextrun"/>
          <w:rFonts w:ascii="Calibri" w:hAnsi="Calibri" w:cs="Calibri"/>
          <w:sz w:val="22"/>
          <w:szCs w:val="22"/>
        </w:rPr>
        <w:t>= 4.4).  Step 2 score t</w:t>
      </w:r>
      <w:r>
        <w:rPr>
          <w:rStyle w:val="eop"/>
          <w:rFonts w:ascii="Calibri" w:hAnsi="Calibri" w:cs="Calibri"/>
          <w:sz w:val="22"/>
          <w:szCs w:val="22"/>
        </w:rPr>
        <w:t> </w:t>
      </w:r>
    </w:p>
    <w:p w14:paraId="3D62907A" w14:textId="77777777" w:rsidR="007D6E51" w:rsidRDefault="007D6E51" w:rsidP="007D6E51"/>
    <w:p w14:paraId="094D61E7" w14:textId="77777777" w:rsidR="007D6E51" w:rsidRDefault="007D6E51" w:rsidP="007D6E51">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lastRenderedPageBreak/>
        <w:t>We further examined the relationship between Step 1 and Step 2 scores by testing whether Step 2 scores could predict Step 1 scores with statistical significance.</w:t>
      </w:r>
    </w:p>
    <w:p w14:paraId="78B19CA0" w14:textId="77777777" w:rsidR="007D6E51" w:rsidRDefault="007D6E51" w:rsidP="007D6E51">
      <w:pPr>
        <w:rPr>
          <w:rStyle w:val="normaltextrun"/>
          <w:rFonts w:ascii="Calibri" w:hAnsi="Calibri" w:cs="Calibri"/>
          <w:color w:val="000000"/>
          <w:bdr w:val="none" w:sz="0" w:space="0" w:color="auto" w:frame="1"/>
        </w:rPr>
      </w:pPr>
    </w:p>
    <w:p w14:paraId="50D2B1CA" w14:textId="77777777" w:rsidR="007D6E51" w:rsidRDefault="007D6E51" w:rsidP="007D6E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 xml:space="preserve">The small Pearson’s </w:t>
      </w:r>
      <w:r>
        <w:rPr>
          <w:rStyle w:val="normaltextrun"/>
          <w:rFonts w:ascii="Calibri" w:hAnsi="Calibri" w:cs="Calibri"/>
          <w:i/>
          <w:iCs/>
          <w:color w:val="000000"/>
        </w:rPr>
        <w:t>r</w:t>
      </w:r>
      <w:r>
        <w:rPr>
          <w:rStyle w:val="normaltextrun"/>
          <w:rFonts w:ascii="Calibri" w:hAnsi="Calibri" w:cs="Calibri"/>
          <w:color w:val="000000"/>
        </w:rPr>
        <w:t xml:space="preserve"> in all three cases means that one cannot reliably predict a student’s output/standing in any of the three metrics given Step 1 scores.</w:t>
      </w:r>
      <w:r>
        <w:rPr>
          <w:rStyle w:val="eop"/>
          <w:rFonts w:ascii="Calibri" w:hAnsi="Calibri" w:cs="Calibri"/>
          <w:color w:val="000000"/>
        </w:rPr>
        <w:t> </w:t>
      </w:r>
    </w:p>
    <w:p w14:paraId="3DFB8267" w14:textId="77777777" w:rsidR="007D6E51" w:rsidRDefault="007D6E51" w:rsidP="007D6E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74C67218" w14:textId="77777777" w:rsidR="007D6E51" w:rsidRDefault="007D6E51" w:rsidP="007D6E51">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 While Step 2 score can be used to predict a student’s corresponding Step 1 score to a moderate extent, the correlation is not high enough—</w:t>
      </w:r>
      <w:proofErr w:type="gramStart"/>
      <w:r>
        <w:rPr>
          <w:rStyle w:val="normaltextrun"/>
          <w:rFonts w:ascii="Calibri" w:hAnsi="Calibri" w:cs="Calibri"/>
          <w:color w:val="000000"/>
        </w:rPr>
        <w:t>or,</w:t>
      </w:r>
      <w:proofErr w:type="gramEnd"/>
      <w:r>
        <w:rPr>
          <w:rStyle w:val="normaltextrun"/>
          <w:rFonts w:ascii="Calibri" w:hAnsi="Calibri" w:cs="Calibri"/>
          <w:color w:val="000000"/>
        </w:rPr>
        <w:t xml:space="preserve"> the relationship is not strong enough—for Step 2 score to serve as a replacement for Step 1 score.</w:t>
      </w:r>
      <w:r>
        <w:rPr>
          <w:rStyle w:val="eop"/>
          <w:rFonts w:ascii="Calibri" w:hAnsi="Calibri" w:cs="Calibri"/>
          <w:color w:val="000000"/>
        </w:rPr>
        <w:t> </w:t>
      </w:r>
    </w:p>
    <w:p w14:paraId="7C140A43" w14:textId="77777777" w:rsidR="007D6E51" w:rsidRDefault="007D6E51" w:rsidP="007D6E51">
      <w:pPr>
        <w:pStyle w:val="paragraph"/>
        <w:spacing w:before="0" w:beforeAutospacing="0" w:after="0" w:afterAutospacing="0"/>
        <w:textAlignment w:val="baseline"/>
        <w:rPr>
          <w:rFonts w:ascii="Segoe UI" w:hAnsi="Segoe UI" w:cs="Segoe UI"/>
          <w:sz w:val="18"/>
          <w:szCs w:val="18"/>
        </w:rPr>
      </w:pPr>
      <w:r w:rsidRPr="00812EE6">
        <w:drawing>
          <wp:inline distT="0" distB="0" distL="0" distR="0" wp14:anchorId="254435FE" wp14:editId="44D81682">
            <wp:extent cx="5943600" cy="200660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2"/>
                    <a:stretch>
                      <a:fillRect/>
                    </a:stretch>
                  </pic:blipFill>
                  <pic:spPr>
                    <a:xfrm>
                      <a:off x="0" y="0"/>
                      <a:ext cx="5943600" cy="2006600"/>
                    </a:xfrm>
                    <a:prstGeom prst="rect">
                      <a:avLst/>
                    </a:prstGeom>
                  </pic:spPr>
                </pic:pic>
              </a:graphicData>
            </a:graphic>
          </wp:inline>
        </w:drawing>
      </w:r>
    </w:p>
    <w:p w14:paraId="27DA9CCF" w14:textId="77777777" w:rsidR="007D6E51" w:rsidRDefault="007D6E51" w:rsidP="007D6E51">
      <w:pPr>
        <w:pStyle w:val="paragraph"/>
        <w:spacing w:before="0" w:beforeAutospacing="0" w:after="0" w:afterAutospacing="0"/>
        <w:textAlignment w:val="baseline"/>
        <w:rPr>
          <w:rFonts w:ascii="Segoe UI" w:hAnsi="Segoe UI" w:cs="Segoe UI"/>
          <w:sz w:val="18"/>
          <w:szCs w:val="18"/>
        </w:rPr>
      </w:pPr>
      <w:r w:rsidRPr="00355B46">
        <w:rPr>
          <w:rFonts w:ascii="Segoe UI" w:hAnsi="Segoe UI" w:cs="Segoe UI"/>
          <w:sz w:val="18"/>
          <w:szCs w:val="18"/>
        </w:rPr>
        <w:drawing>
          <wp:inline distT="0" distB="0" distL="0" distR="0" wp14:anchorId="30E44CC6" wp14:editId="41620FB6">
            <wp:extent cx="3653073" cy="769691"/>
            <wp:effectExtent l="0" t="0" r="508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3691075" cy="777698"/>
                    </a:xfrm>
                    <a:prstGeom prst="rect">
                      <a:avLst/>
                    </a:prstGeom>
                  </pic:spPr>
                </pic:pic>
              </a:graphicData>
            </a:graphic>
          </wp:inline>
        </w:drawing>
      </w:r>
    </w:p>
    <w:p w14:paraId="08BE7D68" w14:textId="77777777" w:rsidR="007D6E51" w:rsidRDefault="007D6E51" w:rsidP="007D6E51">
      <w:pPr>
        <w:pStyle w:val="paragraph"/>
        <w:spacing w:before="0" w:beforeAutospacing="0" w:after="0" w:afterAutospacing="0"/>
        <w:textAlignment w:val="baseline"/>
        <w:rPr>
          <w:rFonts w:ascii="Segoe UI" w:hAnsi="Segoe UI" w:cs="Segoe UI"/>
          <w:sz w:val="18"/>
          <w:szCs w:val="18"/>
        </w:rPr>
      </w:pPr>
    </w:p>
    <w:tbl>
      <w:tblPr>
        <w:tblStyle w:val="TableGrid"/>
        <w:tblW w:w="0" w:type="auto"/>
        <w:tblLayout w:type="fixed"/>
        <w:tblLook w:val="04A0" w:firstRow="1" w:lastRow="0" w:firstColumn="1" w:lastColumn="0" w:noHBand="0" w:noVBand="1"/>
      </w:tblPr>
      <w:tblGrid>
        <w:gridCol w:w="2605"/>
        <w:gridCol w:w="720"/>
        <w:gridCol w:w="841"/>
        <w:gridCol w:w="1126"/>
        <w:gridCol w:w="1115"/>
        <w:gridCol w:w="1097"/>
        <w:gridCol w:w="1083"/>
      </w:tblGrid>
      <w:tr w:rsidR="007D6E51" w14:paraId="6DA22660" w14:textId="77777777" w:rsidTr="005371B5">
        <w:tc>
          <w:tcPr>
            <w:tcW w:w="2605" w:type="dxa"/>
          </w:tcPr>
          <w:p w14:paraId="0EDDA7D8" w14:textId="77777777" w:rsidR="007D6E51" w:rsidRPr="00292CB9" w:rsidRDefault="007D6E51" w:rsidP="005371B5">
            <w:r w:rsidRPr="00292CB9">
              <w:t>Metric</w:t>
            </w:r>
          </w:p>
        </w:tc>
        <w:tc>
          <w:tcPr>
            <w:tcW w:w="720" w:type="dxa"/>
          </w:tcPr>
          <w:p w14:paraId="687CD19F" w14:textId="77777777" w:rsidR="007D6E51" w:rsidRDefault="007D6E51" w:rsidP="005371B5">
            <w:r>
              <w:t>Min</w:t>
            </w:r>
          </w:p>
        </w:tc>
        <w:tc>
          <w:tcPr>
            <w:tcW w:w="841" w:type="dxa"/>
          </w:tcPr>
          <w:p w14:paraId="1782BDE5" w14:textId="77777777" w:rsidR="007D6E51" w:rsidRDefault="007D6E51" w:rsidP="005371B5">
            <w:r>
              <w:t>Max</w:t>
            </w:r>
          </w:p>
        </w:tc>
        <w:tc>
          <w:tcPr>
            <w:tcW w:w="1126" w:type="dxa"/>
          </w:tcPr>
          <w:p w14:paraId="0DBBBAB5" w14:textId="77777777" w:rsidR="007D6E51" w:rsidRDefault="007D6E51" w:rsidP="005371B5">
            <w:r>
              <w:t>Median</w:t>
            </w:r>
          </w:p>
        </w:tc>
        <w:tc>
          <w:tcPr>
            <w:tcW w:w="1115" w:type="dxa"/>
          </w:tcPr>
          <w:p w14:paraId="75F6744A" w14:textId="77777777" w:rsidR="007D6E51" w:rsidRDefault="007D6E51" w:rsidP="005371B5">
            <w:r>
              <w:t>Mean</w:t>
            </w:r>
          </w:p>
        </w:tc>
        <w:tc>
          <w:tcPr>
            <w:tcW w:w="1097" w:type="dxa"/>
          </w:tcPr>
          <w:p w14:paraId="0AD8201D" w14:textId="77777777" w:rsidR="007D6E51" w:rsidRDefault="007D6E51" w:rsidP="005371B5">
            <w:r>
              <w:t>SD</w:t>
            </w:r>
          </w:p>
        </w:tc>
        <w:tc>
          <w:tcPr>
            <w:tcW w:w="1083" w:type="dxa"/>
          </w:tcPr>
          <w:p w14:paraId="2054BB4C" w14:textId="77777777" w:rsidR="007D6E51" w:rsidRDefault="007D6E51" w:rsidP="005371B5">
            <w:r>
              <w:t>NA’s</w:t>
            </w:r>
          </w:p>
        </w:tc>
      </w:tr>
      <w:tr w:rsidR="007D6E51" w14:paraId="1F887938" w14:textId="77777777" w:rsidTr="005371B5">
        <w:tc>
          <w:tcPr>
            <w:tcW w:w="2605" w:type="dxa"/>
          </w:tcPr>
          <w:p w14:paraId="00A733EE" w14:textId="77777777" w:rsidR="007D6E51" w:rsidRPr="00292CB9" w:rsidRDefault="007D6E51" w:rsidP="005371B5">
            <w:r w:rsidRPr="00292CB9">
              <w:t>Step 1 score</w:t>
            </w:r>
          </w:p>
        </w:tc>
        <w:tc>
          <w:tcPr>
            <w:tcW w:w="720" w:type="dxa"/>
          </w:tcPr>
          <w:p w14:paraId="297FD91A" w14:textId="77777777" w:rsidR="007D6E51" w:rsidRDefault="007D6E51" w:rsidP="005371B5">
            <w:r>
              <w:t>198</w:t>
            </w:r>
          </w:p>
        </w:tc>
        <w:tc>
          <w:tcPr>
            <w:tcW w:w="841" w:type="dxa"/>
          </w:tcPr>
          <w:p w14:paraId="28B8714C" w14:textId="77777777" w:rsidR="007D6E51" w:rsidRDefault="007D6E51" w:rsidP="005371B5">
            <w:r>
              <w:t>270</w:t>
            </w:r>
          </w:p>
        </w:tc>
        <w:tc>
          <w:tcPr>
            <w:tcW w:w="1126" w:type="dxa"/>
          </w:tcPr>
          <w:p w14:paraId="46DF2E17" w14:textId="77777777" w:rsidR="007D6E51" w:rsidRDefault="007D6E51" w:rsidP="005371B5">
            <w:r>
              <w:t>247</w:t>
            </w:r>
          </w:p>
        </w:tc>
        <w:tc>
          <w:tcPr>
            <w:tcW w:w="1115" w:type="dxa"/>
          </w:tcPr>
          <w:p w14:paraId="7AF7F065" w14:textId="77777777" w:rsidR="007D6E51" w:rsidRDefault="007D6E51" w:rsidP="005371B5">
            <w:r>
              <w:t>245.16</w:t>
            </w:r>
          </w:p>
        </w:tc>
        <w:tc>
          <w:tcPr>
            <w:tcW w:w="1097" w:type="dxa"/>
          </w:tcPr>
          <w:p w14:paraId="14CE5884" w14:textId="77777777" w:rsidR="007D6E51" w:rsidRDefault="007D6E51" w:rsidP="005371B5">
            <w:r>
              <w:t>12.68</w:t>
            </w:r>
          </w:p>
        </w:tc>
        <w:tc>
          <w:tcPr>
            <w:tcW w:w="1083" w:type="dxa"/>
          </w:tcPr>
          <w:p w14:paraId="4B268350" w14:textId="77777777" w:rsidR="007D6E51" w:rsidRDefault="007D6E51" w:rsidP="005371B5">
            <w:r>
              <w:t>7</w:t>
            </w:r>
          </w:p>
        </w:tc>
      </w:tr>
      <w:tr w:rsidR="007D6E51" w14:paraId="6CAD562C" w14:textId="77777777" w:rsidTr="005371B5">
        <w:tc>
          <w:tcPr>
            <w:tcW w:w="2605" w:type="dxa"/>
          </w:tcPr>
          <w:p w14:paraId="519F1510" w14:textId="77777777" w:rsidR="007D6E51" w:rsidRPr="00292CB9" w:rsidRDefault="007D6E51" w:rsidP="005371B5">
            <w:r w:rsidRPr="00292CB9">
              <w:t>Step 2 score</w:t>
            </w:r>
          </w:p>
        </w:tc>
        <w:tc>
          <w:tcPr>
            <w:tcW w:w="720" w:type="dxa"/>
          </w:tcPr>
          <w:p w14:paraId="5EF7D7BC" w14:textId="77777777" w:rsidR="007D6E51" w:rsidRDefault="007D6E51" w:rsidP="005371B5">
            <w:r>
              <w:t>196</w:t>
            </w:r>
          </w:p>
        </w:tc>
        <w:tc>
          <w:tcPr>
            <w:tcW w:w="841" w:type="dxa"/>
          </w:tcPr>
          <w:p w14:paraId="651C27BA" w14:textId="77777777" w:rsidR="007D6E51" w:rsidRDefault="007D6E51" w:rsidP="005371B5">
            <w:r>
              <w:t>279</w:t>
            </w:r>
          </w:p>
        </w:tc>
        <w:tc>
          <w:tcPr>
            <w:tcW w:w="1126" w:type="dxa"/>
          </w:tcPr>
          <w:p w14:paraId="042D0203" w14:textId="77777777" w:rsidR="007D6E51" w:rsidRDefault="007D6E51" w:rsidP="005371B5">
            <w:r>
              <w:t>255</w:t>
            </w:r>
          </w:p>
        </w:tc>
        <w:tc>
          <w:tcPr>
            <w:tcW w:w="1115" w:type="dxa"/>
          </w:tcPr>
          <w:p w14:paraId="4DB2CEBB" w14:textId="77777777" w:rsidR="007D6E51" w:rsidRDefault="007D6E51" w:rsidP="005371B5">
            <w:r>
              <w:t>253.02</w:t>
            </w:r>
          </w:p>
        </w:tc>
        <w:tc>
          <w:tcPr>
            <w:tcW w:w="1097" w:type="dxa"/>
          </w:tcPr>
          <w:p w14:paraId="5FB1CB20" w14:textId="77777777" w:rsidR="007D6E51" w:rsidRDefault="007D6E51" w:rsidP="005371B5">
            <w:r>
              <w:t>12.37</w:t>
            </w:r>
          </w:p>
        </w:tc>
        <w:tc>
          <w:tcPr>
            <w:tcW w:w="1083" w:type="dxa"/>
          </w:tcPr>
          <w:p w14:paraId="42CA79BE" w14:textId="77777777" w:rsidR="007D6E51" w:rsidRDefault="007D6E51" w:rsidP="005371B5">
            <w:r>
              <w:t>130</w:t>
            </w:r>
          </w:p>
        </w:tc>
      </w:tr>
      <w:tr w:rsidR="007D6E51" w14:paraId="62E0A1F3" w14:textId="77777777" w:rsidTr="005371B5">
        <w:tc>
          <w:tcPr>
            <w:tcW w:w="2605" w:type="dxa"/>
          </w:tcPr>
          <w:p w14:paraId="50CFC241" w14:textId="77777777" w:rsidR="007D6E51" w:rsidRPr="00292CB9" w:rsidRDefault="007D6E51" w:rsidP="005371B5">
            <w:r w:rsidRPr="00292CB9">
              <w:rPr>
                <w:rStyle w:val="normaltextrun"/>
                <w:rFonts w:ascii="Calibri" w:hAnsi="Calibri" w:cs="Calibri"/>
                <w:color w:val="000000"/>
                <w:bdr w:val="none" w:sz="0" w:space="0" w:color="auto" w:frame="1"/>
              </w:rPr>
              <w:t>Peer Reviewed Journal Articles/Abstracts</w:t>
            </w:r>
          </w:p>
        </w:tc>
        <w:tc>
          <w:tcPr>
            <w:tcW w:w="720" w:type="dxa"/>
          </w:tcPr>
          <w:p w14:paraId="4D5C2396" w14:textId="77777777" w:rsidR="007D6E51" w:rsidRDefault="007D6E51" w:rsidP="005371B5">
            <w:r>
              <w:t>0</w:t>
            </w:r>
          </w:p>
        </w:tc>
        <w:tc>
          <w:tcPr>
            <w:tcW w:w="841" w:type="dxa"/>
          </w:tcPr>
          <w:p w14:paraId="62CE0184" w14:textId="77777777" w:rsidR="007D6E51" w:rsidRDefault="007D6E51" w:rsidP="005371B5">
            <w:r>
              <w:t>35</w:t>
            </w:r>
          </w:p>
        </w:tc>
        <w:tc>
          <w:tcPr>
            <w:tcW w:w="1126" w:type="dxa"/>
          </w:tcPr>
          <w:p w14:paraId="141CFE7F" w14:textId="77777777" w:rsidR="007D6E51" w:rsidRDefault="007D6E51" w:rsidP="005371B5">
            <w:r>
              <w:t>2</w:t>
            </w:r>
          </w:p>
        </w:tc>
        <w:tc>
          <w:tcPr>
            <w:tcW w:w="1115" w:type="dxa"/>
          </w:tcPr>
          <w:p w14:paraId="375C03F0" w14:textId="77777777" w:rsidR="007D6E51" w:rsidRDefault="007D6E51" w:rsidP="005371B5">
            <w:r>
              <w:t>3.17</w:t>
            </w:r>
          </w:p>
        </w:tc>
        <w:tc>
          <w:tcPr>
            <w:tcW w:w="1097" w:type="dxa"/>
          </w:tcPr>
          <w:p w14:paraId="600FD1B2" w14:textId="77777777" w:rsidR="007D6E51" w:rsidRDefault="007D6E51" w:rsidP="005371B5">
            <w:r>
              <w:t>3.82</w:t>
            </w:r>
          </w:p>
        </w:tc>
        <w:tc>
          <w:tcPr>
            <w:tcW w:w="1083" w:type="dxa"/>
          </w:tcPr>
          <w:p w14:paraId="59EC8CC1" w14:textId="77777777" w:rsidR="007D6E51" w:rsidRDefault="007D6E51" w:rsidP="005371B5"/>
        </w:tc>
      </w:tr>
      <w:tr w:rsidR="007D6E51" w14:paraId="39605411" w14:textId="77777777" w:rsidTr="005371B5">
        <w:tc>
          <w:tcPr>
            <w:tcW w:w="2605" w:type="dxa"/>
          </w:tcPr>
          <w:p w14:paraId="5EB1DF50" w14:textId="77777777" w:rsidR="007D6E51" w:rsidRPr="00292CB9" w:rsidRDefault="007D6E51" w:rsidP="005371B5">
            <w:pPr>
              <w:pStyle w:val="paragraph"/>
              <w:spacing w:before="0" w:beforeAutospacing="0" w:after="0" w:afterAutospacing="0"/>
              <w:jc w:val="center"/>
              <w:textAlignment w:val="baseline"/>
              <w:rPr>
                <w:rFonts w:ascii="Segoe UI" w:hAnsi="Segoe UI" w:cs="Segoe UI"/>
                <w:sz w:val="18"/>
                <w:szCs w:val="18"/>
              </w:rPr>
            </w:pPr>
            <w:r w:rsidRPr="00292CB9">
              <w:rPr>
                <w:rStyle w:val="normaltextrun"/>
                <w:rFonts w:ascii="Calibri" w:hAnsi="Calibri" w:cs="Calibri"/>
                <w:sz w:val="22"/>
                <w:szCs w:val="22"/>
              </w:rPr>
              <w:t>Peer Reviewed Journal Articles/Abstracts</w:t>
            </w:r>
            <w:r w:rsidRPr="00292CB9">
              <w:rPr>
                <w:rStyle w:val="eop"/>
                <w:rFonts w:ascii="Calibri" w:hAnsi="Calibri" w:cs="Calibri"/>
                <w:sz w:val="22"/>
                <w:szCs w:val="22"/>
              </w:rPr>
              <w:t> </w:t>
            </w:r>
          </w:p>
          <w:p w14:paraId="68D0D973" w14:textId="77777777" w:rsidR="007D6E51" w:rsidRPr="00292CB9" w:rsidRDefault="007D6E51" w:rsidP="005371B5">
            <w:pPr>
              <w:pStyle w:val="paragraph"/>
              <w:spacing w:before="0" w:beforeAutospacing="0" w:after="0" w:afterAutospacing="0"/>
              <w:jc w:val="center"/>
              <w:textAlignment w:val="baseline"/>
              <w:rPr>
                <w:rFonts w:ascii="Segoe UI" w:hAnsi="Segoe UI" w:cs="Segoe UI"/>
                <w:sz w:val="18"/>
                <w:szCs w:val="18"/>
              </w:rPr>
            </w:pPr>
            <w:r w:rsidRPr="00292CB9">
              <w:rPr>
                <w:rStyle w:val="normaltextrun"/>
                <w:rFonts w:ascii="Calibri" w:hAnsi="Calibri" w:cs="Calibri"/>
                <w:sz w:val="22"/>
                <w:szCs w:val="22"/>
              </w:rPr>
              <w:t xml:space="preserve">(Other than </w:t>
            </w:r>
            <w:proofErr w:type="gramStart"/>
            <w:r w:rsidRPr="00292CB9">
              <w:rPr>
                <w:rStyle w:val="normaltextrun"/>
                <w:rFonts w:ascii="Calibri" w:hAnsi="Calibri" w:cs="Calibri"/>
                <w:sz w:val="22"/>
                <w:szCs w:val="22"/>
              </w:rPr>
              <w:t>Published</w:t>
            </w:r>
            <w:proofErr w:type="gramEnd"/>
            <w:r w:rsidRPr="00292CB9">
              <w:rPr>
                <w:rStyle w:val="normaltextrun"/>
                <w:rFonts w:ascii="Calibri" w:hAnsi="Calibri" w:cs="Calibri"/>
                <w:sz w:val="22"/>
                <w:szCs w:val="22"/>
              </w:rPr>
              <w:t>)</w:t>
            </w:r>
          </w:p>
          <w:p w14:paraId="2F33055E" w14:textId="77777777" w:rsidR="007D6E51" w:rsidRPr="00292CB9" w:rsidRDefault="007D6E51" w:rsidP="005371B5"/>
        </w:tc>
        <w:tc>
          <w:tcPr>
            <w:tcW w:w="720" w:type="dxa"/>
          </w:tcPr>
          <w:p w14:paraId="5361B2E6" w14:textId="77777777" w:rsidR="007D6E51" w:rsidRDefault="007D6E51" w:rsidP="005371B5">
            <w:r>
              <w:t>0</w:t>
            </w:r>
          </w:p>
        </w:tc>
        <w:tc>
          <w:tcPr>
            <w:tcW w:w="841" w:type="dxa"/>
          </w:tcPr>
          <w:p w14:paraId="661913E5" w14:textId="77777777" w:rsidR="007D6E51" w:rsidRDefault="007D6E51" w:rsidP="005371B5">
            <w:r>
              <w:t>31</w:t>
            </w:r>
          </w:p>
        </w:tc>
        <w:tc>
          <w:tcPr>
            <w:tcW w:w="1126" w:type="dxa"/>
          </w:tcPr>
          <w:p w14:paraId="6B1D1912" w14:textId="77777777" w:rsidR="007D6E51" w:rsidRDefault="007D6E51" w:rsidP="005371B5">
            <w:r>
              <w:t>2</w:t>
            </w:r>
          </w:p>
        </w:tc>
        <w:tc>
          <w:tcPr>
            <w:tcW w:w="1115" w:type="dxa"/>
          </w:tcPr>
          <w:p w14:paraId="5657C26C" w14:textId="77777777" w:rsidR="007D6E51" w:rsidRDefault="007D6E51" w:rsidP="005371B5">
            <w:r>
              <w:t>2.65</w:t>
            </w:r>
          </w:p>
        </w:tc>
        <w:tc>
          <w:tcPr>
            <w:tcW w:w="1097" w:type="dxa"/>
          </w:tcPr>
          <w:p w14:paraId="7FCA7EE0" w14:textId="77777777" w:rsidR="007D6E51" w:rsidRDefault="007D6E51" w:rsidP="005371B5">
            <w:r>
              <w:t>2.98</w:t>
            </w:r>
          </w:p>
        </w:tc>
        <w:tc>
          <w:tcPr>
            <w:tcW w:w="1083" w:type="dxa"/>
          </w:tcPr>
          <w:p w14:paraId="167248D2" w14:textId="77777777" w:rsidR="007D6E51" w:rsidRDefault="007D6E51" w:rsidP="005371B5"/>
        </w:tc>
      </w:tr>
      <w:tr w:rsidR="007D6E51" w14:paraId="0A30BA16" w14:textId="77777777" w:rsidTr="005371B5">
        <w:tc>
          <w:tcPr>
            <w:tcW w:w="2605" w:type="dxa"/>
          </w:tcPr>
          <w:p w14:paraId="3F85D75C" w14:textId="77777777" w:rsidR="007D6E51" w:rsidRPr="00292CB9" w:rsidRDefault="007D6E51" w:rsidP="005371B5">
            <w:r w:rsidRPr="00292CB9">
              <w:rPr>
                <w:rStyle w:val="normaltextrun"/>
                <w:rFonts w:ascii="Calibri" w:hAnsi="Calibri" w:cs="Calibri"/>
                <w:color w:val="000000"/>
                <w:bdr w:val="none" w:sz="0" w:space="0" w:color="auto" w:frame="1"/>
              </w:rPr>
              <w:t>Book Chapter (Peer Reviewed)</w:t>
            </w:r>
          </w:p>
        </w:tc>
        <w:tc>
          <w:tcPr>
            <w:tcW w:w="720" w:type="dxa"/>
          </w:tcPr>
          <w:p w14:paraId="0CA3AD55" w14:textId="77777777" w:rsidR="007D6E51" w:rsidRDefault="007D6E51" w:rsidP="005371B5">
            <w:r>
              <w:t>0</w:t>
            </w:r>
          </w:p>
        </w:tc>
        <w:tc>
          <w:tcPr>
            <w:tcW w:w="841" w:type="dxa"/>
          </w:tcPr>
          <w:p w14:paraId="7E3D3F3C" w14:textId="77777777" w:rsidR="007D6E51" w:rsidRDefault="007D6E51" w:rsidP="005371B5">
            <w:r>
              <w:t>7</w:t>
            </w:r>
          </w:p>
        </w:tc>
        <w:tc>
          <w:tcPr>
            <w:tcW w:w="1126" w:type="dxa"/>
          </w:tcPr>
          <w:p w14:paraId="0EAFEB31" w14:textId="77777777" w:rsidR="007D6E51" w:rsidRDefault="007D6E51" w:rsidP="005371B5">
            <w:r>
              <w:t>0</w:t>
            </w:r>
          </w:p>
        </w:tc>
        <w:tc>
          <w:tcPr>
            <w:tcW w:w="1115" w:type="dxa"/>
          </w:tcPr>
          <w:p w14:paraId="0DDE7D29" w14:textId="77777777" w:rsidR="007D6E51" w:rsidRDefault="007D6E51" w:rsidP="005371B5">
            <w:r>
              <w:t>0.13</w:t>
            </w:r>
          </w:p>
        </w:tc>
        <w:tc>
          <w:tcPr>
            <w:tcW w:w="1097" w:type="dxa"/>
          </w:tcPr>
          <w:p w14:paraId="2B7456E0" w14:textId="77777777" w:rsidR="007D6E51" w:rsidRDefault="007D6E51" w:rsidP="005371B5">
            <w:r>
              <w:t>0.52</w:t>
            </w:r>
          </w:p>
        </w:tc>
        <w:tc>
          <w:tcPr>
            <w:tcW w:w="1083" w:type="dxa"/>
          </w:tcPr>
          <w:p w14:paraId="2935A612" w14:textId="77777777" w:rsidR="007D6E51" w:rsidRDefault="007D6E51" w:rsidP="005371B5"/>
        </w:tc>
      </w:tr>
      <w:tr w:rsidR="007D6E51" w14:paraId="35581091" w14:textId="77777777" w:rsidTr="005371B5">
        <w:tc>
          <w:tcPr>
            <w:tcW w:w="2605" w:type="dxa"/>
          </w:tcPr>
          <w:p w14:paraId="0A5FA4A7" w14:textId="77777777" w:rsidR="007D6E51" w:rsidRPr="00292CB9" w:rsidRDefault="007D6E51" w:rsidP="005371B5">
            <w:r w:rsidRPr="00292CB9">
              <w:rPr>
                <w:rStyle w:val="normaltextrun"/>
                <w:rFonts w:ascii="Calibri" w:hAnsi="Calibri" w:cs="Calibri"/>
                <w:color w:val="000000"/>
                <w:bdr w:val="none" w:sz="0" w:space="0" w:color="auto" w:frame="1"/>
              </w:rPr>
              <w:t>Poster Presentation</w:t>
            </w:r>
          </w:p>
        </w:tc>
        <w:tc>
          <w:tcPr>
            <w:tcW w:w="720" w:type="dxa"/>
          </w:tcPr>
          <w:p w14:paraId="123C5929" w14:textId="77777777" w:rsidR="007D6E51" w:rsidRDefault="007D6E51" w:rsidP="005371B5">
            <w:r>
              <w:t>0</w:t>
            </w:r>
          </w:p>
        </w:tc>
        <w:tc>
          <w:tcPr>
            <w:tcW w:w="841" w:type="dxa"/>
          </w:tcPr>
          <w:p w14:paraId="3035401B" w14:textId="77777777" w:rsidR="007D6E51" w:rsidRDefault="007D6E51" w:rsidP="005371B5">
            <w:r>
              <w:t>46</w:t>
            </w:r>
          </w:p>
        </w:tc>
        <w:tc>
          <w:tcPr>
            <w:tcW w:w="1126" w:type="dxa"/>
          </w:tcPr>
          <w:p w14:paraId="05E906DB" w14:textId="77777777" w:rsidR="007D6E51" w:rsidRDefault="007D6E51" w:rsidP="005371B5">
            <w:r>
              <w:t>4</w:t>
            </w:r>
          </w:p>
        </w:tc>
        <w:tc>
          <w:tcPr>
            <w:tcW w:w="1115" w:type="dxa"/>
          </w:tcPr>
          <w:p w14:paraId="57B8B821" w14:textId="77777777" w:rsidR="007D6E51" w:rsidRDefault="007D6E51" w:rsidP="005371B5">
            <w:r>
              <w:t>4.54</w:t>
            </w:r>
          </w:p>
        </w:tc>
        <w:tc>
          <w:tcPr>
            <w:tcW w:w="1097" w:type="dxa"/>
          </w:tcPr>
          <w:p w14:paraId="647CA925" w14:textId="77777777" w:rsidR="007D6E51" w:rsidRDefault="007D6E51" w:rsidP="005371B5">
            <w:r>
              <w:t>4.40</w:t>
            </w:r>
          </w:p>
        </w:tc>
        <w:tc>
          <w:tcPr>
            <w:tcW w:w="1083" w:type="dxa"/>
          </w:tcPr>
          <w:p w14:paraId="1D71E482" w14:textId="77777777" w:rsidR="007D6E51" w:rsidRDefault="007D6E51" w:rsidP="005371B5"/>
        </w:tc>
      </w:tr>
      <w:tr w:rsidR="007D6E51" w14:paraId="1B033F99" w14:textId="77777777" w:rsidTr="005371B5">
        <w:tc>
          <w:tcPr>
            <w:tcW w:w="2605" w:type="dxa"/>
          </w:tcPr>
          <w:p w14:paraId="0E804D24" w14:textId="77777777" w:rsidR="007D6E51" w:rsidRPr="00292CB9" w:rsidRDefault="007D6E51" w:rsidP="005371B5">
            <w:r w:rsidRPr="00292CB9">
              <w:rPr>
                <w:rStyle w:val="normaltextrun"/>
                <w:rFonts w:ascii="Calibri" w:hAnsi="Calibri" w:cs="Calibri"/>
                <w:color w:val="000000"/>
                <w:bdr w:val="none" w:sz="0" w:space="0" w:color="auto" w:frame="1"/>
              </w:rPr>
              <w:t>Oral Presentation</w:t>
            </w:r>
          </w:p>
        </w:tc>
        <w:tc>
          <w:tcPr>
            <w:tcW w:w="720" w:type="dxa"/>
          </w:tcPr>
          <w:p w14:paraId="6B1C15F9" w14:textId="77777777" w:rsidR="007D6E51" w:rsidRDefault="007D6E51" w:rsidP="005371B5">
            <w:r>
              <w:t>0</w:t>
            </w:r>
          </w:p>
        </w:tc>
        <w:tc>
          <w:tcPr>
            <w:tcW w:w="841" w:type="dxa"/>
          </w:tcPr>
          <w:p w14:paraId="2F83DEA1" w14:textId="77777777" w:rsidR="007D6E51" w:rsidRDefault="007D6E51" w:rsidP="005371B5">
            <w:r>
              <w:t>25</w:t>
            </w:r>
          </w:p>
        </w:tc>
        <w:tc>
          <w:tcPr>
            <w:tcW w:w="1126" w:type="dxa"/>
          </w:tcPr>
          <w:p w14:paraId="710092FD" w14:textId="77777777" w:rsidR="007D6E51" w:rsidRDefault="007D6E51" w:rsidP="005371B5">
            <w:r>
              <w:t>2</w:t>
            </w:r>
          </w:p>
        </w:tc>
        <w:tc>
          <w:tcPr>
            <w:tcW w:w="1115" w:type="dxa"/>
          </w:tcPr>
          <w:p w14:paraId="3E13DF35" w14:textId="77777777" w:rsidR="007D6E51" w:rsidRDefault="007D6E51" w:rsidP="005371B5">
            <w:r>
              <w:t>2.54</w:t>
            </w:r>
          </w:p>
        </w:tc>
        <w:tc>
          <w:tcPr>
            <w:tcW w:w="1097" w:type="dxa"/>
          </w:tcPr>
          <w:p w14:paraId="1B66D24B" w14:textId="77777777" w:rsidR="007D6E51" w:rsidRDefault="007D6E51" w:rsidP="005371B5">
            <w:r>
              <w:t>2.85</w:t>
            </w:r>
          </w:p>
        </w:tc>
        <w:tc>
          <w:tcPr>
            <w:tcW w:w="1083" w:type="dxa"/>
          </w:tcPr>
          <w:p w14:paraId="529E3926" w14:textId="77777777" w:rsidR="007D6E51" w:rsidRDefault="007D6E51" w:rsidP="005371B5"/>
        </w:tc>
      </w:tr>
      <w:tr w:rsidR="007D6E51" w14:paraId="48EA1306" w14:textId="77777777" w:rsidTr="005371B5">
        <w:tc>
          <w:tcPr>
            <w:tcW w:w="2605" w:type="dxa"/>
          </w:tcPr>
          <w:p w14:paraId="66AB8D6C" w14:textId="77777777" w:rsidR="007D6E51" w:rsidRPr="00292CB9" w:rsidRDefault="007D6E51" w:rsidP="005371B5">
            <w:r w:rsidRPr="00292CB9">
              <w:rPr>
                <w:rStyle w:val="normaltextrun"/>
                <w:rFonts w:ascii="Calibri" w:hAnsi="Calibri" w:cs="Calibri"/>
                <w:color w:val="000000"/>
                <w:bdr w:val="none" w:sz="0" w:space="0" w:color="auto" w:frame="1"/>
              </w:rPr>
              <w:t>Online Publication (Peer Reviewed)</w:t>
            </w:r>
          </w:p>
        </w:tc>
        <w:tc>
          <w:tcPr>
            <w:tcW w:w="720" w:type="dxa"/>
          </w:tcPr>
          <w:p w14:paraId="5E5D54F4" w14:textId="77777777" w:rsidR="007D6E51" w:rsidRDefault="007D6E51" w:rsidP="005371B5">
            <w:r>
              <w:t>0</w:t>
            </w:r>
          </w:p>
        </w:tc>
        <w:tc>
          <w:tcPr>
            <w:tcW w:w="841" w:type="dxa"/>
          </w:tcPr>
          <w:p w14:paraId="3D9103FC" w14:textId="77777777" w:rsidR="007D6E51" w:rsidRDefault="007D6E51" w:rsidP="005371B5">
            <w:r>
              <w:t>10</w:t>
            </w:r>
          </w:p>
        </w:tc>
        <w:tc>
          <w:tcPr>
            <w:tcW w:w="1126" w:type="dxa"/>
          </w:tcPr>
          <w:p w14:paraId="7F52B13C" w14:textId="77777777" w:rsidR="007D6E51" w:rsidRDefault="007D6E51" w:rsidP="005371B5">
            <w:r>
              <w:t>0</w:t>
            </w:r>
          </w:p>
        </w:tc>
        <w:tc>
          <w:tcPr>
            <w:tcW w:w="1115" w:type="dxa"/>
          </w:tcPr>
          <w:p w14:paraId="22665112" w14:textId="77777777" w:rsidR="007D6E51" w:rsidRDefault="007D6E51" w:rsidP="005371B5">
            <w:r>
              <w:t>0.19</w:t>
            </w:r>
          </w:p>
        </w:tc>
        <w:tc>
          <w:tcPr>
            <w:tcW w:w="1097" w:type="dxa"/>
          </w:tcPr>
          <w:p w14:paraId="4A40E632" w14:textId="77777777" w:rsidR="007D6E51" w:rsidRDefault="007D6E51" w:rsidP="005371B5">
            <w:r>
              <w:t>0.65</w:t>
            </w:r>
          </w:p>
        </w:tc>
        <w:tc>
          <w:tcPr>
            <w:tcW w:w="1083" w:type="dxa"/>
          </w:tcPr>
          <w:p w14:paraId="36CBF105" w14:textId="77777777" w:rsidR="007D6E51" w:rsidRDefault="007D6E51" w:rsidP="005371B5"/>
        </w:tc>
      </w:tr>
      <w:tr w:rsidR="007D6E51" w14:paraId="333FA50D" w14:textId="77777777" w:rsidTr="005371B5">
        <w:tc>
          <w:tcPr>
            <w:tcW w:w="2605" w:type="dxa"/>
          </w:tcPr>
          <w:p w14:paraId="56E8AE96" w14:textId="77777777" w:rsidR="007D6E51" w:rsidRPr="00292CB9" w:rsidRDefault="007D6E51" w:rsidP="005371B5">
            <w:pPr>
              <w:rPr>
                <w:rStyle w:val="normaltextrun"/>
                <w:rFonts w:ascii="Calibri" w:hAnsi="Calibri" w:cs="Calibri"/>
                <w:color w:val="000000"/>
                <w:bdr w:val="none" w:sz="0" w:space="0" w:color="auto" w:frame="1"/>
              </w:rPr>
            </w:pPr>
            <w:r w:rsidRPr="00292CB9">
              <w:rPr>
                <w:rStyle w:val="normaltextrun"/>
                <w:rFonts w:ascii="Calibri" w:hAnsi="Calibri" w:cs="Calibri"/>
                <w:color w:val="000000"/>
                <w:bdr w:val="none" w:sz="0" w:space="0" w:color="auto" w:frame="1"/>
              </w:rPr>
              <w:t>Online Publication (Non-Peer Reviewed)</w:t>
            </w:r>
          </w:p>
        </w:tc>
        <w:tc>
          <w:tcPr>
            <w:tcW w:w="720" w:type="dxa"/>
          </w:tcPr>
          <w:p w14:paraId="377E8F6D" w14:textId="77777777" w:rsidR="007D6E51" w:rsidRDefault="007D6E51" w:rsidP="005371B5">
            <w:r>
              <w:t>0</w:t>
            </w:r>
          </w:p>
        </w:tc>
        <w:tc>
          <w:tcPr>
            <w:tcW w:w="841" w:type="dxa"/>
          </w:tcPr>
          <w:p w14:paraId="0D5127C3" w14:textId="77777777" w:rsidR="007D6E51" w:rsidRDefault="007D6E51" w:rsidP="005371B5">
            <w:r>
              <w:t>9</w:t>
            </w:r>
          </w:p>
        </w:tc>
        <w:tc>
          <w:tcPr>
            <w:tcW w:w="1126" w:type="dxa"/>
          </w:tcPr>
          <w:p w14:paraId="7D6F0B2C" w14:textId="77777777" w:rsidR="007D6E51" w:rsidRDefault="007D6E51" w:rsidP="005371B5">
            <w:r>
              <w:t>0</w:t>
            </w:r>
          </w:p>
        </w:tc>
        <w:tc>
          <w:tcPr>
            <w:tcW w:w="1115" w:type="dxa"/>
          </w:tcPr>
          <w:p w14:paraId="280CA50D" w14:textId="77777777" w:rsidR="007D6E51" w:rsidRDefault="007D6E51" w:rsidP="005371B5">
            <w:r>
              <w:t>0.18</w:t>
            </w:r>
          </w:p>
        </w:tc>
        <w:tc>
          <w:tcPr>
            <w:tcW w:w="1097" w:type="dxa"/>
          </w:tcPr>
          <w:p w14:paraId="0824A630" w14:textId="77777777" w:rsidR="007D6E51" w:rsidRDefault="007D6E51" w:rsidP="005371B5">
            <w:r>
              <w:t>0.61</w:t>
            </w:r>
          </w:p>
        </w:tc>
        <w:tc>
          <w:tcPr>
            <w:tcW w:w="1083" w:type="dxa"/>
          </w:tcPr>
          <w:p w14:paraId="01083757" w14:textId="77777777" w:rsidR="007D6E51" w:rsidRDefault="007D6E51" w:rsidP="005371B5"/>
        </w:tc>
      </w:tr>
      <w:tr w:rsidR="007D6E51" w14:paraId="1AD4C440" w14:textId="77777777" w:rsidTr="005371B5">
        <w:tc>
          <w:tcPr>
            <w:tcW w:w="2605" w:type="dxa"/>
          </w:tcPr>
          <w:p w14:paraId="2BABB027" w14:textId="77777777" w:rsidR="007D6E51" w:rsidRPr="00292CB9" w:rsidRDefault="007D6E51" w:rsidP="005371B5">
            <w:pPr>
              <w:rPr>
                <w:rStyle w:val="normaltextrun"/>
                <w:rFonts w:ascii="Calibri" w:hAnsi="Calibri" w:cs="Calibri"/>
                <w:color w:val="000000"/>
                <w:bdr w:val="none" w:sz="0" w:space="0" w:color="auto" w:frame="1"/>
              </w:rPr>
            </w:pPr>
            <w:r w:rsidRPr="00292CB9">
              <w:rPr>
                <w:rStyle w:val="normaltextrun"/>
                <w:rFonts w:ascii="Calibri" w:hAnsi="Calibri" w:cs="Calibri"/>
                <w:color w:val="000000"/>
                <w:bdr w:val="none" w:sz="0" w:space="0" w:color="auto" w:frame="1"/>
              </w:rPr>
              <w:t>Other Articles</w:t>
            </w:r>
          </w:p>
        </w:tc>
        <w:tc>
          <w:tcPr>
            <w:tcW w:w="720" w:type="dxa"/>
          </w:tcPr>
          <w:p w14:paraId="749191A2" w14:textId="77777777" w:rsidR="007D6E51" w:rsidRDefault="007D6E51" w:rsidP="005371B5">
            <w:r>
              <w:t>0</w:t>
            </w:r>
          </w:p>
        </w:tc>
        <w:tc>
          <w:tcPr>
            <w:tcW w:w="841" w:type="dxa"/>
          </w:tcPr>
          <w:p w14:paraId="0F8CE4A9" w14:textId="77777777" w:rsidR="007D6E51" w:rsidRDefault="007D6E51" w:rsidP="005371B5">
            <w:r>
              <w:t>25</w:t>
            </w:r>
          </w:p>
        </w:tc>
        <w:tc>
          <w:tcPr>
            <w:tcW w:w="1126" w:type="dxa"/>
          </w:tcPr>
          <w:p w14:paraId="2B2CD960" w14:textId="77777777" w:rsidR="007D6E51" w:rsidRDefault="007D6E51" w:rsidP="005371B5">
            <w:r>
              <w:t>0</w:t>
            </w:r>
          </w:p>
        </w:tc>
        <w:tc>
          <w:tcPr>
            <w:tcW w:w="1115" w:type="dxa"/>
          </w:tcPr>
          <w:p w14:paraId="729BF144" w14:textId="77777777" w:rsidR="007D6E51" w:rsidRDefault="007D6E51" w:rsidP="005371B5">
            <w:r>
              <w:t>0.28</w:t>
            </w:r>
          </w:p>
        </w:tc>
        <w:tc>
          <w:tcPr>
            <w:tcW w:w="1097" w:type="dxa"/>
          </w:tcPr>
          <w:p w14:paraId="6383C326" w14:textId="77777777" w:rsidR="007D6E51" w:rsidRDefault="007D6E51" w:rsidP="005371B5">
            <w:r>
              <w:t>1.41</w:t>
            </w:r>
          </w:p>
        </w:tc>
        <w:tc>
          <w:tcPr>
            <w:tcW w:w="1083" w:type="dxa"/>
          </w:tcPr>
          <w:p w14:paraId="50E275F9" w14:textId="77777777" w:rsidR="007D6E51" w:rsidRDefault="007D6E51" w:rsidP="005371B5"/>
        </w:tc>
      </w:tr>
    </w:tbl>
    <w:p w14:paraId="0C1047C2" w14:textId="77777777" w:rsidR="007D6E51" w:rsidRDefault="007D6E51" w:rsidP="007D6E51"/>
    <w:p w14:paraId="679DA15C" w14:textId="77777777" w:rsidR="007D6E51" w:rsidRDefault="007D6E51" w:rsidP="007D6E51">
      <w:r>
        <w:rPr>
          <w:rFonts w:ascii="Calibri" w:hAnsi="Calibri" w:cs="Calibri"/>
          <w:color w:val="000000"/>
          <w:shd w:val="clear" w:color="auto" w:fill="FFFFFF"/>
        </w:rPr>
        <w:lastRenderedPageBreak/>
        <w:br/>
      </w:r>
    </w:p>
    <w:p w14:paraId="0ECF5905" w14:textId="77777777" w:rsidR="007D6E51" w:rsidRDefault="007D6E51" w:rsidP="00685EC1"/>
    <w:sectPr w:rsidR="007D6E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3861" w14:textId="77777777" w:rsidR="00E62E13" w:rsidRDefault="00E62E13" w:rsidP="001D76DE">
      <w:pPr>
        <w:spacing w:after="0" w:line="240" w:lineRule="auto"/>
      </w:pPr>
      <w:r>
        <w:separator/>
      </w:r>
    </w:p>
  </w:endnote>
  <w:endnote w:type="continuationSeparator" w:id="0">
    <w:p w14:paraId="7850B683" w14:textId="77777777" w:rsidR="00E62E13" w:rsidRDefault="00E62E13" w:rsidP="001D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BF39" w14:textId="77777777" w:rsidR="00E62E13" w:rsidRDefault="00E62E13" w:rsidP="001D76DE">
      <w:pPr>
        <w:spacing w:after="0" w:line="240" w:lineRule="auto"/>
      </w:pPr>
      <w:r>
        <w:separator/>
      </w:r>
    </w:p>
  </w:footnote>
  <w:footnote w:type="continuationSeparator" w:id="0">
    <w:p w14:paraId="26C971A8" w14:textId="77777777" w:rsidR="00E62E13" w:rsidRDefault="00E62E13" w:rsidP="001D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D7DDF"/>
    <w:multiLevelType w:val="hybridMultilevel"/>
    <w:tmpl w:val="BFF0DA82"/>
    <w:lvl w:ilvl="0" w:tplc="78E0CC5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25742"/>
    <w:multiLevelType w:val="multilevel"/>
    <w:tmpl w:val="69267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8226261">
    <w:abstractNumId w:val="0"/>
  </w:num>
  <w:num w:numId="2" w16cid:durableId="75065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C1"/>
    <w:rsid w:val="001B061B"/>
    <w:rsid w:val="001D76DE"/>
    <w:rsid w:val="004E54C5"/>
    <w:rsid w:val="005F6416"/>
    <w:rsid w:val="00611B27"/>
    <w:rsid w:val="00685EC1"/>
    <w:rsid w:val="00705DD3"/>
    <w:rsid w:val="0072154E"/>
    <w:rsid w:val="007D6E51"/>
    <w:rsid w:val="008324C2"/>
    <w:rsid w:val="00964EEE"/>
    <w:rsid w:val="00987DEB"/>
    <w:rsid w:val="00A82B21"/>
    <w:rsid w:val="00B76E4F"/>
    <w:rsid w:val="00BA104A"/>
    <w:rsid w:val="00BC05F1"/>
    <w:rsid w:val="00CE4909"/>
    <w:rsid w:val="00D56533"/>
    <w:rsid w:val="00E62E13"/>
    <w:rsid w:val="00F57119"/>
    <w:rsid w:val="00FE34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F76B"/>
  <w15:chartTrackingRefBased/>
  <w15:docId w15:val="{08CEC6D0-9CC1-4ABF-A733-EC74DCCD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C1"/>
    <w:pPr>
      <w:ind w:left="720"/>
      <w:contextualSpacing/>
    </w:pPr>
  </w:style>
  <w:style w:type="paragraph" w:styleId="Header">
    <w:name w:val="header"/>
    <w:basedOn w:val="Normal"/>
    <w:link w:val="HeaderChar"/>
    <w:uiPriority w:val="99"/>
    <w:unhideWhenUsed/>
    <w:rsid w:val="001D7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DE"/>
  </w:style>
  <w:style w:type="paragraph" w:styleId="Footer">
    <w:name w:val="footer"/>
    <w:basedOn w:val="Normal"/>
    <w:link w:val="FooterChar"/>
    <w:uiPriority w:val="99"/>
    <w:unhideWhenUsed/>
    <w:rsid w:val="001D7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DE"/>
  </w:style>
  <w:style w:type="paragraph" w:styleId="NormalWeb">
    <w:name w:val="Normal (Web)"/>
    <w:basedOn w:val="Normal"/>
    <w:uiPriority w:val="99"/>
    <w:semiHidden/>
    <w:unhideWhenUsed/>
    <w:rsid w:val="00A82B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B21"/>
    <w:rPr>
      <w:color w:val="0563C1" w:themeColor="hyperlink"/>
      <w:u w:val="single"/>
    </w:rPr>
  </w:style>
  <w:style w:type="character" w:styleId="UnresolvedMention">
    <w:name w:val="Unresolved Mention"/>
    <w:basedOn w:val="DefaultParagraphFont"/>
    <w:uiPriority w:val="99"/>
    <w:semiHidden/>
    <w:unhideWhenUsed/>
    <w:rsid w:val="00FE34D3"/>
    <w:rPr>
      <w:color w:val="605E5C"/>
      <w:shd w:val="clear" w:color="auto" w:fill="E1DFDD"/>
    </w:rPr>
  </w:style>
  <w:style w:type="character" w:styleId="Strong">
    <w:name w:val="Strong"/>
    <w:basedOn w:val="DefaultParagraphFont"/>
    <w:uiPriority w:val="22"/>
    <w:qFormat/>
    <w:rsid w:val="00611B27"/>
    <w:rPr>
      <w:b/>
      <w:bCs/>
    </w:rPr>
  </w:style>
  <w:style w:type="character" w:styleId="PlaceholderText">
    <w:name w:val="Placeholder Text"/>
    <w:basedOn w:val="DefaultParagraphFont"/>
    <w:uiPriority w:val="99"/>
    <w:semiHidden/>
    <w:rsid w:val="00705DD3"/>
    <w:rPr>
      <w:color w:val="808080"/>
    </w:rPr>
  </w:style>
  <w:style w:type="paragraph" w:customStyle="1" w:styleId="paragraph">
    <w:name w:val="paragraph"/>
    <w:basedOn w:val="Normal"/>
    <w:rsid w:val="007D6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D6E51"/>
  </w:style>
  <w:style w:type="character" w:customStyle="1" w:styleId="normaltextrun">
    <w:name w:val="normaltextrun"/>
    <w:basedOn w:val="DefaultParagraphFont"/>
    <w:rsid w:val="007D6E51"/>
  </w:style>
  <w:style w:type="table" w:styleId="TableGrid">
    <w:name w:val="Table Grid"/>
    <w:basedOn w:val="TableNormal"/>
    <w:uiPriority w:val="39"/>
    <w:rsid w:val="007D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40085">
      <w:bodyDiv w:val="1"/>
      <w:marLeft w:val="0"/>
      <w:marRight w:val="0"/>
      <w:marTop w:val="0"/>
      <w:marBottom w:val="0"/>
      <w:divBdr>
        <w:top w:val="none" w:sz="0" w:space="0" w:color="auto"/>
        <w:left w:val="none" w:sz="0" w:space="0" w:color="auto"/>
        <w:bottom w:val="none" w:sz="0" w:space="0" w:color="auto"/>
        <w:right w:val="none" w:sz="0" w:space="0" w:color="auto"/>
      </w:divBdr>
    </w:div>
    <w:div w:id="170652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how-to-report-regression-result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sthda.com/english/articles/39-regression-model-diagnostics/161-linear-regression-assumptions-and-diagnostics-in-r-essential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Ho</dc:creator>
  <cp:keywords/>
  <dc:description/>
  <cp:lastModifiedBy>Tiffany Ho</cp:lastModifiedBy>
  <cp:revision>7</cp:revision>
  <dcterms:created xsi:type="dcterms:W3CDTF">2022-05-03T16:53:00Z</dcterms:created>
  <dcterms:modified xsi:type="dcterms:W3CDTF">2022-05-22T19:35:00Z</dcterms:modified>
</cp:coreProperties>
</file>