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AEF5D" w14:textId="6F6262AA" w:rsidR="31267825" w:rsidRPr="00D53DD2" w:rsidRDefault="00D53DD2" w:rsidP="31267825">
      <w:pPr>
        <w:rPr>
          <w:b/>
          <w:bCs/>
        </w:rPr>
      </w:pPr>
      <w:r w:rsidRPr="00D53DD2">
        <w:rPr>
          <w:b/>
          <w:bCs/>
        </w:rPr>
        <w:t xml:space="preserve">Impact words: </w:t>
      </w:r>
    </w:p>
    <w:p w14:paraId="0B3B8DBF" w14:textId="781F91F1" w:rsidR="31267825" w:rsidRPr="00D53DD2" w:rsidRDefault="00CB672F" w:rsidP="00D53DD2">
      <w:pPr>
        <w:pStyle w:val="ListParagraph"/>
        <w:numPr>
          <w:ilvl w:val="0"/>
          <w:numId w:val="5"/>
        </w:numPr>
      </w:pPr>
      <w:commentRangeStart w:id="0"/>
      <w:r w:rsidRPr="00D53DD2">
        <w:rPr>
          <w:b/>
          <w:bCs/>
        </w:rPr>
        <w:t>Shap</w:t>
      </w:r>
      <w:r w:rsidR="0078183D" w:rsidRPr="00D53DD2">
        <w:rPr>
          <w:b/>
          <w:bCs/>
        </w:rPr>
        <w:t>e</w:t>
      </w:r>
      <w:commentRangeEnd w:id="0"/>
      <w:r w:rsidR="00D53DD2">
        <w:rPr>
          <w:rStyle w:val="CommentReference"/>
        </w:rPr>
        <w:commentReference w:id="0"/>
      </w:r>
      <w:r w:rsidRPr="00D53DD2">
        <w:rPr>
          <w:b/>
          <w:bCs/>
        </w:rPr>
        <w:t xml:space="preserve"> the</w:t>
      </w:r>
      <w:r w:rsidR="31267825">
        <w:t xml:space="preserve"> </w:t>
      </w:r>
      <w:r w:rsidR="31267825" w:rsidRPr="00D53DD2">
        <w:rPr>
          <w:b/>
          <w:bCs/>
        </w:rPr>
        <w:t>global agenda</w:t>
      </w:r>
      <w:r w:rsidR="00ED2E23" w:rsidRPr="00D53DD2">
        <w:rPr>
          <w:b/>
          <w:bCs/>
        </w:rPr>
        <w:t xml:space="preserve"> </w:t>
      </w:r>
      <w:r w:rsidR="0034088C">
        <w:t>to prioritize and improve learning</w:t>
      </w:r>
      <w:r w:rsidR="001F2D1B">
        <w:t>.</w:t>
      </w:r>
      <w:r w:rsidR="0034088C">
        <w:t xml:space="preserve"> </w:t>
      </w:r>
    </w:p>
    <w:p w14:paraId="5E8AF13E" w14:textId="601A9DAB" w:rsidR="31267825" w:rsidRDefault="31267825" w:rsidP="00D53DD2">
      <w:pPr>
        <w:pStyle w:val="ListParagraph"/>
        <w:numPr>
          <w:ilvl w:val="0"/>
          <w:numId w:val="5"/>
        </w:numPr>
      </w:pPr>
      <w:r w:rsidRPr="00D53DD2">
        <w:rPr>
          <w:b/>
          <w:bCs/>
        </w:rPr>
        <w:t>Advance</w:t>
      </w:r>
      <w:r w:rsidR="00D11D46" w:rsidRPr="00D53DD2">
        <w:rPr>
          <w:b/>
          <w:bCs/>
        </w:rPr>
        <w:t xml:space="preserve"> policy and practice</w:t>
      </w:r>
      <w:r>
        <w:t xml:space="preserve"> </w:t>
      </w:r>
      <w:r w:rsidRPr="00D11D46">
        <w:t>for inclusive and equitable education</w:t>
      </w:r>
      <w:r w:rsidR="006A5BC5">
        <w:t xml:space="preserve"> that enables young people to develop a breadth of skills </w:t>
      </w:r>
      <w:r w:rsidR="00D17D01">
        <w:t>to thrive</w:t>
      </w:r>
      <w:r w:rsidR="001F2D1B">
        <w:t>.</w:t>
      </w:r>
    </w:p>
    <w:p w14:paraId="4BC3C5E6" w14:textId="7CDA5C7A" w:rsidR="31267825" w:rsidRDefault="31267825" w:rsidP="00D53DD2">
      <w:pPr>
        <w:pStyle w:val="ListParagraph"/>
        <w:numPr>
          <w:ilvl w:val="0"/>
          <w:numId w:val="5"/>
        </w:numPr>
      </w:pPr>
      <w:r w:rsidRPr="00D53DD2">
        <w:rPr>
          <w:b/>
          <w:bCs/>
        </w:rPr>
        <w:t>Support local leaders</w:t>
      </w:r>
      <w:r>
        <w:t xml:space="preserve"> to advance change</w:t>
      </w:r>
      <w:r w:rsidR="001F2D1B">
        <w:t>.</w:t>
      </w:r>
    </w:p>
    <w:p w14:paraId="25D4902D" w14:textId="565EB990" w:rsidR="31267825" w:rsidRDefault="000E7BB0" w:rsidP="00D53DD2">
      <w:pPr>
        <w:pStyle w:val="ListParagraph"/>
        <w:numPr>
          <w:ilvl w:val="0"/>
          <w:numId w:val="5"/>
        </w:numPr>
      </w:pPr>
      <w:r w:rsidRPr="00D53DD2">
        <w:rPr>
          <w:b/>
          <w:bCs/>
        </w:rPr>
        <w:t xml:space="preserve">Incubate </w:t>
      </w:r>
      <w:r w:rsidR="00752BF5" w:rsidRPr="00D53DD2">
        <w:rPr>
          <w:b/>
          <w:bCs/>
        </w:rPr>
        <w:t>global education</w:t>
      </w:r>
      <w:r w:rsidR="00DC6A86" w:rsidRPr="00D53DD2">
        <w:rPr>
          <w:b/>
          <w:bCs/>
        </w:rPr>
        <w:t xml:space="preserve"> organization</w:t>
      </w:r>
      <w:r w:rsidR="00AE4605" w:rsidRPr="00D53DD2">
        <w:rPr>
          <w:b/>
          <w:bCs/>
        </w:rPr>
        <w:t>s</w:t>
      </w:r>
      <w:r w:rsidR="00DC6A86" w:rsidRPr="00D53DD2">
        <w:rPr>
          <w:b/>
          <w:bCs/>
        </w:rPr>
        <w:t xml:space="preserve"> </w:t>
      </w:r>
      <w:r w:rsidR="003363D9" w:rsidRPr="00D53DD2">
        <w:rPr>
          <w:b/>
          <w:bCs/>
        </w:rPr>
        <w:t>and tools</w:t>
      </w:r>
      <w:r w:rsidR="001F2D1B" w:rsidRPr="00D53DD2">
        <w:rPr>
          <w:b/>
          <w:bCs/>
        </w:rPr>
        <w:t>.</w:t>
      </w:r>
    </w:p>
    <w:p w14:paraId="3A85DC9A" w14:textId="158B20FC" w:rsidR="31267825" w:rsidRDefault="00A94491" w:rsidP="00D53DD2">
      <w:pPr>
        <w:pStyle w:val="ListParagraph"/>
        <w:numPr>
          <w:ilvl w:val="0"/>
          <w:numId w:val="5"/>
        </w:numPr>
      </w:pPr>
      <w:r w:rsidRPr="00D53DD2">
        <w:rPr>
          <w:b/>
          <w:bCs/>
        </w:rPr>
        <w:t xml:space="preserve">Catalyze education systems transformation </w:t>
      </w:r>
      <w:r w:rsidRPr="00A94491">
        <w:t>through diverse networks</w:t>
      </w:r>
      <w:r w:rsidR="001F2D1B">
        <w:t>.</w:t>
      </w:r>
      <w:r w:rsidR="00C85C7F">
        <w:t xml:space="preserve"> </w:t>
      </w:r>
    </w:p>
    <w:p w14:paraId="528BF1C6" w14:textId="77777777" w:rsidR="00A94491" w:rsidRDefault="00A94491" w:rsidP="31267825"/>
    <w:p w14:paraId="37BDB189" w14:textId="22F09CDF" w:rsidR="00A94491" w:rsidRPr="00A94491" w:rsidRDefault="00023F18" w:rsidP="31267825">
      <w:commentRangeStart w:id="1"/>
      <w:r w:rsidRPr="00D53DD2">
        <w:rPr>
          <w:b/>
          <w:bCs/>
        </w:rPr>
        <w:t>Brief</w:t>
      </w:r>
      <w:commentRangeEnd w:id="1"/>
      <w:r w:rsidR="005A4155">
        <w:rPr>
          <w:rStyle w:val="CommentReference"/>
        </w:rPr>
        <w:commentReference w:id="1"/>
      </w:r>
      <w:r w:rsidRPr="00D53DD2">
        <w:rPr>
          <w:b/>
          <w:bCs/>
        </w:rPr>
        <w:t xml:space="preserve"> interactive description:</w:t>
      </w:r>
      <w:r>
        <w:t xml:space="preserve"> </w:t>
      </w:r>
      <w:r w:rsidR="009E31AE">
        <w:t>Since</w:t>
      </w:r>
      <w:r w:rsidR="00EF4C0F">
        <w:t xml:space="preserve"> 2002, CUE </w:t>
      </w:r>
      <w:r w:rsidR="009E31AE">
        <w:t xml:space="preserve">has been collaborating </w:t>
      </w:r>
      <w:r w:rsidR="00EF4C0F">
        <w:t xml:space="preserve">with partners around the world to </w:t>
      </w:r>
      <w:r w:rsidR="009E31AE">
        <w:t xml:space="preserve">build evidence, develop tools, and strengthen capacities to catalyze a movement for education systems transformation. </w:t>
      </w:r>
    </w:p>
    <w:p w14:paraId="3CC8AC9E" w14:textId="7992FAC4" w:rsidR="00393690" w:rsidRDefault="00393690"/>
    <w:p w14:paraId="16AB3B73" w14:textId="77777777" w:rsidR="00393690" w:rsidRDefault="00393690"/>
    <w:tbl>
      <w:tblPr>
        <w:tblStyle w:val="TableGrid"/>
        <w:tblW w:w="9350" w:type="dxa"/>
        <w:tblLook w:val="04A0" w:firstRow="1" w:lastRow="0" w:firstColumn="1" w:lastColumn="0" w:noHBand="0" w:noVBand="1"/>
      </w:tblPr>
      <w:tblGrid>
        <w:gridCol w:w="686"/>
        <w:gridCol w:w="31"/>
        <w:gridCol w:w="5078"/>
        <w:gridCol w:w="1666"/>
        <w:gridCol w:w="1889"/>
        <w:tblGridChange w:id="2">
          <w:tblGrid>
            <w:gridCol w:w="686"/>
            <w:gridCol w:w="31"/>
            <w:gridCol w:w="5078"/>
            <w:gridCol w:w="1666"/>
            <w:gridCol w:w="1889"/>
          </w:tblGrid>
        </w:tblGridChange>
      </w:tblGrid>
      <w:tr w:rsidR="00830060" w:rsidRPr="00393690" w14:paraId="6046CB81" w14:textId="77777777" w:rsidTr="00406671">
        <w:tc>
          <w:tcPr>
            <w:tcW w:w="717" w:type="dxa"/>
            <w:gridSpan w:val="2"/>
          </w:tcPr>
          <w:p w14:paraId="529AEE3A" w14:textId="76E6D7B5" w:rsidR="00307954" w:rsidRPr="00393690" w:rsidRDefault="00307954" w:rsidP="00393690">
            <w:pPr>
              <w:jc w:val="center"/>
              <w:rPr>
                <w:b/>
                <w:bCs/>
              </w:rPr>
            </w:pPr>
            <w:r w:rsidRPr="00393690">
              <w:rPr>
                <w:b/>
                <w:bCs/>
              </w:rPr>
              <w:t>Year</w:t>
            </w:r>
          </w:p>
        </w:tc>
        <w:tc>
          <w:tcPr>
            <w:tcW w:w="5078" w:type="dxa"/>
          </w:tcPr>
          <w:p w14:paraId="1CB20DF3" w14:textId="6D1C1CA3" w:rsidR="00307954" w:rsidRPr="00393690" w:rsidRDefault="00307954" w:rsidP="00D53DD2">
            <w:pPr>
              <w:ind w:right="-120"/>
              <w:jc w:val="center"/>
              <w:rPr>
                <w:b/>
                <w:bCs/>
              </w:rPr>
            </w:pPr>
            <w:r w:rsidRPr="00393690">
              <w:rPr>
                <w:b/>
                <w:bCs/>
              </w:rPr>
              <w:t>Milestone</w:t>
            </w:r>
            <w:r w:rsidR="005E28CA" w:rsidRPr="00393690">
              <w:rPr>
                <w:b/>
                <w:bCs/>
              </w:rPr>
              <w:t xml:space="preserve"> </w:t>
            </w:r>
            <w:r w:rsidR="00406671">
              <w:rPr>
                <w:b/>
                <w:bCs/>
              </w:rPr>
              <w:t>title</w:t>
            </w:r>
            <w:r w:rsidR="00B8244E">
              <w:rPr>
                <w:b/>
                <w:bCs/>
              </w:rPr>
              <w:t xml:space="preserve"> / </w:t>
            </w:r>
            <w:r w:rsidR="00B8244E" w:rsidRPr="00D53DD2">
              <w:rPr>
                <w:b/>
                <w:bCs/>
                <w:highlight w:val="yellow"/>
              </w:rPr>
              <w:t>image/video file to display</w:t>
            </w:r>
          </w:p>
        </w:tc>
        <w:tc>
          <w:tcPr>
            <w:tcW w:w="1666" w:type="dxa"/>
          </w:tcPr>
          <w:p w14:paraId="75CDE5D0" w14:textId="144C9CD3" w:rsidR="00307954" w:rsidRPr="00393690" w:rsidRDefault="00307954" w:rsidP="00D53DD2">
            <w:pPr>
              <w:ind w:hanging="100"/>
              <w:jc w:val="center"/>
              <w:rPr>
                <w:b/>
                <w:bCs/>
              </w:rPr>
            </w:pPr>
            <w:r w:rsidRPr="00393690">
              <w:rPr>
                <w:b/>
                <w:bCs/>
              </w:rPr>
              <w:t>Impact area</w:t>
            </w:r>
          </w:p>
        </w:tc>
        <w:tc>
          <w:tcPr>
            <w:tcW w:w="1889" w:type="dxa"/>
          </w:tcPr>
          <w:p w14:paraId="5F2E5A8C" w14:textId="2B65D3FA" w:rsidR="00307954" w:rsidRPr="00393690" w:rsidRDefault="1B222A5C" w:rsidP="2D12A897">
            <w:pPr>
              <w:jc w:val="center"/>
              <w:rPr>
                <w:b/>
                <w:bCs/>
              </w:rPr>
            </w:pPr>
            <w:r w:rsidRPr="2D12A897">
              <w:rPr>
                <w:b/>
                <w:bCs/>
              </w:rPr>
              <w:t>Description</w:t>
            </w:r>
          </w:p>
          <w:p w14:paraId="76F641CA" w14:textId="440953E9" w:rsidR="00307954" w:rsidRPr="00393690" w:rsidRDefault="1B222A5C" w:rsidP="00393690">
            <w:pPr>
              <w:jc w:val="center"/>
              <w:rPr>
                <w:b/>
                <w:bCs/>
              </w:rPr>
            </w:pPr>
            <w:r w:rsidRPr="2D12A897">
              <w:rPr>
                <w:b/>
                <w:bCs/>
              </w:rPr>
              <w:t xml:space="preserve">(what this is and what this catalyzed/led to 100 words) </w:t>
            </w:r>
          </w:p>
        </w:tc>
      </w:tr>
      <w:tr w:rsidR="00546AAA" w14:paraId="5E413F14" w14:textId="77777777" w:rsidTr="00406671">
        <w:tc>
          <w:tcPr>
            <w:tcW w:w="717" w:type="dxa"/>
            <w:gridSpan w:val="2"/>
          </w:tcPr>
          <w:p w14:paraId="7D7852D9" w14:textId="3BC65A4A" w:rsidR="00E11C7B" w:rsidRDefault="00E11C7B">
            <w:r>
              <w:t>2002</w:t>
            </w:r>
          </w:p>
        </w:tc>
        <w:tc>
          <w:tcPr>
            <w:tcW w:w="5078" w:type="dxa"/>
          </w:tcPr>
          <w:p w14:paraId="14D93E78" w14:textId="7893F1E9" w:rsidR="00147916" w:rsidRDefault="00147916">
            <w:r>
              <w:t>Founding of the Center for Universal Education</w:t>
            </w:r>
          </w:p>
          <w:p w14:paraId="0A2A1B50" w14:textId="77777777" w:rsidR="00147916" w:rsidRDefault="00147916"/>
          <w:p w14:paraId="0C0F39C2" w14:textId="5EB45F1E" w:rsidR="00E11C7B" w:rsidRDefault="00147916">
            <w:r w:rsidRPr="00D53DD2">
              <w:rPr>
                <w:highlight w:val="yellow"/>
              </w:rPr>
              <w:t xml:space="preserve">Image: </w:t>
            </w:r>
            <w:commentRangeStart w:id="3"/>
            <w:r w:rsidR="009C4C61" w:rsidRPr="00D53DD2">
              <w:rPr>
                <w:highlight w:val="yellow"/>
              </w:rPr>
              <w:t xml:space="preserve">Video file </w:t>
            </w:r>
            <w:commentRangeEnd w:id="3"/>
            <w:r w:rsidR="009C4C61" w:rsidRPr="00D53DD2">
              <w:rPr>
                <w:rStyle w:val="CommentReference"/>
                <w:highlight w:val="yellow"/>
              </w:rPr>
              <w:commentReference w:id="3"/>
            </w:r>
            <w:r w:rsidR="009C4C61" w:rsidRPr="00D53DD2">
              <w:rPr>
                <w:highlight w:val="yellow"/>
              </w:rPr>
              <w:t>of Gene Sperling discussing the founding of CUE.</w:t>
            </w:r>
          </w:p>
        </w:tc>
        <w:tc>
          <w:tcPr>
            <w:tcW w:w="1666" w:type="dxa"/>
          </w:tcPr>
          <w:p w14:paraId="3F2782BF" w14:textId="752FEA51" w:rsidR="00E11C7B" w:rsidRPr="009056B8" w:rsidRDefault="00191D7A">
            <w:r>
              <w:t>Shape the global agenda</w:t>
            </w:r>
            <w:r w:rsidR="00370B8A">
              <w:t xml:space="preserve">, </w:t>
            </w:r>
            <w:r w:rsidR="00620A34">
              <w:t xml:space="preserve">Advance policy and practice, Support local leaders, Incubate </w:t>
            </w:r>
            <w:r w:rsidR="00D3313E">
              <w:t>global education organizations and tools, Catalyze education systems transformation</w:t>
            </w:r>
          </w:p>
        </w:tc>
        <w:tc>
          <w:tcPr>
            <w:tcW w:w="1889" w:type="dxa"/>
          </w:tcPr>
          <w:p w14:paraId="2CDE90D8" w14:textId="5114A641" w:rsidR="00947045" w:rsidRPr="00406671" w:rsidRDefault="009F2EDC" w:rsidP="00947045">
            <w:r w:rsidRPr="00406671">
              <w:rPr>
                <w:color w:val="4B535D"/>
                <w:spacing w:val="5"/>
              </w:rPr>
              <w:t xml:space="preserve">Founded in 2002 by Gene Sperling, </w:t>
            </w:r>
            <w:r w:rsidR="00B634AB" w:rsidRPr="00406671">
              <w:rPr>
                <w:color w:val="4B535D"/>
                <w:spacing w:val="5"/>
              </w:rPr>
              <w:t>CUE</w:t>
            </w:r>
            <w:r w:rsidRPr="00406671">
              <w:rPr>
                <w:color w:val="4B535D"/>
                <w:spacing w:val="5"/>
              </w:rPr>
              <w:t xml:space="preserve"> was the</w:t>
            </w:r>
            <w:r w:rsidR="00947045" w:rsidRPr="00406671">
              <w:rPr>
                <w:color w:val="4B535D"/>
                <w:spacing w:val="5"/>
              </w:rPr>
              <w:t xml:space="preserve"> first </w:t>
            </w:r>
            <w:r w:rsidR="00B634AB" w:rsidRPr="00406671">
              <w:rPr>
                <w:color w:val="4B535D"/>
                <w:spacing w:val="5"/>
              </w:rPr>
              <w:t>c</w:t>
            </w:r>
            <w:r w:rsidR="00947045" w:rsidRPr="00406671">
              <w:rPr>
                <w:color w:val="4B535D"/>
                <w:spacing w:val="5"/>
              </w:rPr>
              <w:t xml:space="preserve">enter at a major think tank </w:t>
            </w:r>
            <w:r w:rsidR="00370B8A" w:rsidRPr="00406671">
              <w:rPr>
                <w:color w:val="4B535D"/>
                <w:spacing w:val="5"/>
              </w:rPr>
              <w:t xml:space="preserve">that </w:t>
            </w:r>
            <w:r w:rsidR="00947045" w:rsidRPr="00406671">
              <w:rPr>
                <w:color w:val="4B535D"/>
                <w:spacing w:val="5"/>
              </w:rPr>
              <w:t>focus</w:t>
            </w:r>
            <w:r w:rsidR="00370B8A" w:rsidRPr="00406671">
              <w:rPr>
                <w:color w:val="4B535D"/>
                <w:spacing w:val="5"/>
              </w:rPr>
              <w:t>ed</w:t>
            </w:r>
            <w:r w:rsidR="00947045" w:rsidRPr="00406671">
              <w:rPr>
                <w:color w:val="4B535D"/>
                <w:spacing w:val="5"/>
              </w:rPr>
              <w:t xml:space="preserve"> exclusively </w:t>
            </w:r>
            <w:r w:rsidR="007A6BF6" w:rsidRPr="00406671">
              <w:rPr>
                <w:color w:val="4B535D"/>
                <w:spacing w:val="5"/>
              </w:rPr>
              <w:t>on</w:t>
            </w:r>
            <w:r w:rsidR="00947045" w:rsidRPr="00406671">
              <w:rPr>
                <w:color w:val="4B535D"/>
                <w:spacing w:val="5"/>
              </w:rPr>
              <w:t xml:space="preserve"> </w:t>
            </w:r>
            <w:r w:rsidR="00D56678" w:rsidRPr="00406671">
              <w:rPr>
                <w:color w:val="4B535D"/>
                <w:spacing w:val="5"/>
              </w:rPr>
              <w:t>adv</w:t>
            </w:r>
            <w:r w:rsidR="00011A88" w:rsidRPr="00406671">
              <w:rPr>
                <w:color w:val="4B535D"/>
                <w:spacing w:val="5"/>
              </w:rPr>
              <w:t>ancing the United Nations global education goals to ensure all children</w:t>
            </w:r>
            <w:r w:rsidR="00DB51CE" w:rsidRPr="00406671">
              <w:rPr>
                <w:rFonts w:ascii="Roboto" w:hAnsi="Roboto"/>
                <w:color w:val="4D5156"/>
                <w:shd w:val="clear" w:color="auto" w:fill="FFFFFF"/>
              </w:rPr>
              <w:t>—</w:t>
            </w:r>
            <w:r w:rsidR="001E0069" w:rsidRPr="00406671">
              <w:rPr>
                <w:color w:val="4B535D"/>
                <w:spacing w:val="5"/>
              </w:rPr>
              <w:t>regardless of</w:t>
            </w:r>
            <w:r w:rsidR="00714D04" w:rsidRPr="00406671">
              <w:rPr>
                <w:color w:val="4B535D"/>
                <w:spacing w:val="5"/>
              </w:rPr>
              <w:t xml:space="preserve"> where they are born</w:t>
            </w:r>
            <w:r w:rsidR="00DB51CE" w:rsidRPr="00406671">
              <w:rPr>
                <w:rFonts w:ascii="Roboto" w:hAnsi="Roboto"/>
                <w:color w:val="4D5156"/>
                <w:shd w:val="clear" w:color="auto" w:fill="FFFFFF"/>
              </w:rPr>
              <w:t>—</w:t>
            </w:r>
            <w:r w:rsidR="00011A88" w:rsidRPr="00406671">
              <w:rPr>
                <w:color w:val="4B535D"/>
                <w:spacing w:val="5"/>
              </w:rPr>
              <w:t>have ac</w:t>
            </w:r>
            <w:r w:rsidR="00B37689" w:rsidRPr="00406671">
              <w:rPr>
                <w:color w:val="4B535D"/>
                <w:spacing w:val="5"/>
              </w:rPr>
              <w:t>cess to a quality education</w:t>
            </w:r>
            <w:r w:rsidR="00E77134" w:rsidRPr="00406671">
              <w:rPr>
                <w:color w:val="4B535D"/>
                <w:spacing w:val="5"/>
              </w:rPr>
              <w:t xml:space="preserve">. </w:t>
            </w:r>
          </w:p>
          <w:p w14:paraId="69CFA6DC" w14:textId="77777777" w:rsidR="00E11C7B" w:rsidRDefault="00E11C7B" w:rsidP="00B9646F">
            <w:pPr>
              <w:rPr>
                <w:rFonts w:ascii="Helvetica" w:hAnsi="Helvetica"/>
                <w:sz w:val="26"/>
                <w:szCs w:val="26"/>
                <w:shd w:val="clear" w:color="auto" w:fill="FFFFFF"/>
              </w:rPr>
            </w:pPr>
          </w:p>
        </w:tc>
      </w:tr>
      <w:tr w:rsidR="00830060" w14:paraId="5BB0A990" w14:textId="77777777" w:rsidTr="00406671">
        <w:tc>
          <w:tcPr>
            <w:tcW w:w="717" w:type="dxa"/>
            <w:gridSpan w:val="2"/>
          </w:tcPr>
          <w:p w14:paraId="3F9B0DB3" w14:textId="1BFC14B7" w:rsidR="007102C3" w:rsidRDefault="007102C3">
            <w:r>
              <w:t>2003</w:t>
            </w:r>
          </w:p>
        </w:tc>
        <w:tc>
          <w:tcPr>
            <w:tcW w:w="5078" w:type="dxa"/>
          </w:tcPr>
          <w:p w14:paraId="67DB4254" w14:textId="77777777" w:rsidR="007102C3" w:rsidRDefault="001954D6">
            <w:r>
              <w:t xml:space="preserve">Launch of U.S. Chapter of </w:t>
            </w:r>
            <w:r w:rsidR="007102C3">
              <w:t>Global Campaign for Education</w:t>
            </w:r>
          </w:p>
          <w:p w14:paraId="64574587" w14:textId="77777777" w:rsidR="008C6FC3" w:rsidRDefault="008C6FC3"/>
          <w:p w14:paraId="3A6959F4" w14:textId="073C79BB" w:rsidR="008C6FC3" w:rsidRDefault="008C6FC3">
            <w:r w:rsidRPr="00D53DD2">
              <w:rPr>
                <w:highlight w:val="yellow"/>
              </w:rPr>
              <w:t>Image: GCE website screenshot</w:t>
            </w:r>
            <w:r w:rsidR="00FA0B28" w:rsidRPr="00D53DD2">
              <w:rPr>
                <w:highlight w:val="yellow"/>
              </w:rPr>
              <w:t xml:space="preserve"> </w:t>
            </w:r>
            <w:hyperlink r:id="rId13" w:history="1">
              <w:r w:rsidR="00FA0B28" w:rsidRPr="00D53DD2">
                <w:rPr>
                  <w:rStyle w:val="Hyperlink"/>
                  <w:highlight w:val="yellow"/>
                </w:rPr>
                <w:t>https://www.g</w:t>
              </w:r>
              <w:r w:rsidR="00FA0B28" w:rsidRPr="00D53DD2">
                <w:rPr>
                  <w:rStyle w:val="Hyperlink"/>
                  <w:highlight w:val="yellow"/>
                </w:rPr>
                <w:t>c</w:t>
              </w:r>
              <w:r w:rsidR="00FA0B28" w:rsidRPr="00D53DD2">
                <w:rPr>
                  <w:rStyle w:val="Hyperlink"/>
                  <w:highlight w:val="yellow"/>
                </w:rPr>
                <w:t>e-us.org/</w:t>
              </w:r>
            </w:hyperlink>
            <w:r w:rsidR="00FA0B28">
              <w:t xml:space="preserve"> </w:t>
            </w:r>
          </w:p>
        </w:tc>
        <w:tc>
          <w:tcPr>
            <w:tcW w:w="1666" w:type="dxa"/>
          </w:tcPr>
          <w:p w14:paraId="197C1B27" w14:textId="203AF3C4" w:rsidR="007102C3" w:rsidRPr="00406671" w:rsidRDefault="0032780D">
            <w:r w:rsidRPr="00406671">
              <w:t>Shape the g</w:t>
            </w:r>
            <w:r w:rsidR="00AD6B98" w:rsidRPr="00406671">
              <w:t>lobal agenda</w:t>
            </w:r>
            <w:r w:rsidRPr="00406671">
              <w:t xml:space="preserve">, </w:t>
            </w:r>
          </w:p>
          <w:p w14:paraId="714A46DE" w14:textId="10A66C1D" w:rsidR="007102C3" w:rsidRPr="00406671" w:rsidRDefault="00590A38">
            <w:r w:rsidRPr="00406671">
              <w:t>I</w:t>
            </w:r>
            <w:r w:rsidR="00C9072F" w:rsidRPr="00406671">
              <w:t>ncubate</w:t>
            </w:r>
            <w:r w:rsidRPr="00406671">
              <w:t xml:space="preserve"> global education organization and tools</w:t>
            </w:r>
          </w:p>
        </w:tc>
        <w:tc>
          <w:tcPr>
            <w:tcW w:w="1889" w:type="dxa"/>
          </w:tcPr>
          <w:p w14:paraId="1E7AB852" w14:textId="4652768D" w:rsidR="00B9646F" w:rsidRPr="00406671" w:rsidRDefault="006F6892" w:rsidP="00B9646F">
            <w:pPr>
              <w:rPr>
                <w:rFonts w:ascii="Times" w:hAnsi="Times" w:cs="Times"/>
              </w:rPr>
            </w:pPr>
            <w:r w:rsidRPr="00406671">
              <w:rPr>
                <w:rFonts w:ascii="Times" w:hAnsi="Times" w:cs="Times"/>
                <w:shd w:val="clear" w:color="auto" w:fill="FFFFFF"/>
              </w:rPr>
              <w:t xml:space="preserve">CUE’s </w:t>
            </w:r>
            <w:r w:rsidR="00293065" w:rsidRPr="00406671">
              <w:rPr>
                <w:rFonts w:ascii="Times" w:hAnsi="Times" w:cs="Times"/>
                <w:shd w:val="clear" w:color="auto" w:fill="FFFFFF"/>
              </w:rPr>
              <w:t xml:space="preserve">early </w:t>
            </w:r>
            <w:r w:rsidRPr="00406671">
              <w:rPr>
                <w:rFonts w:ascii="Times" w:hAnsi="Times" w:cs="Times"/>
                <w:shd w:val="clear" w:color="auto" w:fill="FFFFFF"/>
              </w:rPr>
              <w:t>convenings</w:t>
            </w:r>
            <w:r w:rsidR="00293065" w:rsidRPr="00406671">
              <w:rPr>
                <w:rFonts w:ascii="Times" w:hAnsi="Times" w:cs="Times"/>
                <w:shd w:val="clear" w:color="auto" w:fill="FFFFFF"/>
              </w:rPr>
              <w:t xml:space="preserve"> on global education gaps and needs</w:t>
            </w:r>
            <w:r w:rsidRPr="00406671">
              <w:rPr>
                <w:rFonts w:ascii="Times" w:hAnsi="Times" w:cs="Times"/>
                <w:shd w:val="clear" w:color="auto" w:fill="FFFFFF"/>
              </w:rPr>
              <w:t xml:space="preserve"> led to the </w:t>
            </w:r>
            <w:r w:rsidR="0016437B" w:rsidRPr="00406671">
              <w:rPr>
                <w:rFonts w:ascii="Times" w:hAnsi="Times" w:cs="Times"/>
                <w:shd w:val="clear" w:color="auto" w:fill="FFFFFF"/>
              </w:rPr>
              <w:t xml:space="preserve">launch of the </w:t>
            </w:r>
            <w:r w:rsidR="00045C5A" w:rsidRPr="00406671">
              <w:rPr>
                <w:rFonts w:ascii="Times" w:hAnsi="Times" w:cs="Times"/>
                <w:shd w:val="clear" w:color="auto" w:fill="FFFFFF"/>
              </w:rPr>
              <w:t>Global Campaign for Education-US</w:t>
            </w:r>
            <w:r w:rsidR="00045C5A" w:rsidRPr="00406671">
              <w:rPr>
                <w:rFonts w:ascii="Times" w:hAnsi="Times" w:cs="Times"/>
                <w:shd w:val="clear" w:color="auto" w:fill="FFFFFF"/>
              </w:rPr>
              <w:t xml:space="preserve">, </w:t>
            </w:r>
            <w:r w:rsidR="00627525" w:rsidRPr="00406671">
              <w:rPr>
                <w:rFonts w:ascii="Times" w:hAnsi="Times" w:cs="Times"/>
                <w:shd w:val="clear" w:color="auto" w:fill="FFFFFF"/>
              </w:rPr>
              <w:t xml:space="preserve">a </w:t>
            </w:r>
            <w:r w:rsidR="00627525" w:rsidRPr="00406671">
              <w:rPr>
                <w:rFonts w:ascii="Times" w:hAnsi="Times" w:cs="Times"/>
                <w:shd w:val="clear" w:color="auto" w:fill="FFFFFF"/>
              </w:rPr>
              <w:lastRenderedPageBreak/>
              <w:t>nonprofit organization dedicated to promoting education as a basic human right and mobiliz</w:t>
            </w:r>
            <w:r w:rsidR="005D63BB" w:rsidRPr="00406671">
              <w:rPr>
                <w:rFonts w:ascii="Times" w:hAnsi="Times" w:cs="Times"/>
                <w:shd w:val="clear" w:color="auto" w:fill="FFFFFF"/>
              </w:rPr>
              <w:t>ing</w:t>
            </w:r>
            <w:r w:rsidR="00627525" w:rsidRPr="00406671">
              <w:rPr>
                <w:rFonts w:ascii="Times" w:hAnsi="Times" w:cs="Times"/>
                <w:shd w:val="clear" w:color="auto" w:fill="FFFFFF"/>
              </w:rPr>
              <w:t xml:space="preserve"> support in the U</w:t>
            </w:r>
            <w:r w:rsidR="005D63BB" w:rsidRPr="00406671">
              <w:rPr>
                <w:rFonts w:ascii="Times" w:hAnsi="Times" w:cs="Times"/>
                <w:shd w:val="clear" w:color="auto" w:fill="FFFFFF"/>
              </w:rPr>
              <w:t>.S.</w:t>
            </w:r>
            <w:r w:rsidR="00627525" w:rsidRPr="00406671">
              <w:rPr>
                <w:rFonts w:ascii="Times" w:hAnsi="Times" w:cs="Times"/>
                <w:shd w:val="clear" w:color="auto" w:fill="FFFFFF"/>
              </w:rPr>
              <w:t xml:space="preserve"> and internationally to ensure universal quality education is at the core of human development</w:t>
            </w:r>
            <w:r w:rsidR="0016437B" w:rsidRPr="00406671">
              <w:rPr>
                <w:rFonts w:ascii="Times" w:hAnsi="Times" w:cs="Times"/>
                <w:shd w:val="clear" w:color="auto" w:fill="FFFFFF"/>
              </w:rPr>
              <w:t>.</w:t>
            </w:r>
            <w:r w:rsidR="00C21A7A" w:rsidRPr="00406671">
              <w:rPr>
                <w:rFonts w:ascii="Times" w:hAnsi="Times" w:cs="Times"/>
                <w:shd w:val="clear" w:color="auto" w:fill="FFFFFF"/>
              </w:rPr>
              <w:t xml:space="preserve"> </w:t>
            </w:r>
          </w:p>
          <w:p w14:paraId="76ACBBE1" w14:textId="58F04E56" w:rsidR="00307954" w:rsidRPr="00406671" w:rsidRDefault="00307954" w:rsidP="00B9646F">
            <w:pPr>
              <w:rPr>
                <w:rFonts w:ascii="Times" w:hAnsi="Times" w:cs="Times"/>
              </w:rPr>
            </w:pPr>
          </w:p>
        </w:tc>
      </w:tr>
      <w:tr w:rsidR="00830060" w:rsidRPr="00092171" w14:paraId="1D3E143F" w14:textId="77777777" w:rsidTr="00406671">
        <w:tc>
          <w:tcPr>
            <w:tcW w:w="717" w:type="dxa"/>
            <w:gridSpan w:val="2"/>
          </w:tcPr>
          <w:p w14:paraId="4AD4C66B" w14:textId="2AB12C00" w:rsidR="00092171" w:rsidRDefault="00AE4CF1" w:rsidP="00AE01CE">
            <w:r>
              <w:lastRenderedPageBreak/>
              <w:t>2004</w:t>
            </w:r>
          </w:p>
        </w:tc>
        <w:tc>
          <w:tcPr>
            <w:tcW w:w="5078" w:type="dxa"/>
          </w:tcPr>
          <w:p w14:paraId="3E46F602" w14:textId="1F86499E" w:rsidR="00092171" w:rsidRDefault="25B5B5E2" w:rsidP="00AE01CE">
            <w:r>
              <w:t xml:space="preserve">Publication of </w:t>
            </w:r>
            <w:r w:rsidR="00406671">
              <w:t>“</w:t>
            </w:r>
            <w:r>
              <w:t xml:space="preserve">What </w:t>
            </w:r>
            <w:r w:rsidR="00406671">
              <w:t>w</w:t>
            </w:r>
            <w:r>
              <w:t xml:space="preserve">orks in </w:t>
            </w:r>
            <w:r w:rsidR="00406671">
              <w:t>g</w:t>
            </w:r>
            <w:r>
              <w:t xml:space="preserve">irls’ </w:t>
            </w:r>
            <w:r w:rsidR="00406671">
              <w:t>e</w:t>
            </w:r>
            <w:r>
              <w:t>ducation</w:t>
            </w:r>
            <w:r w:rsidR="00093458">
              <w:t xml:space="preserve">: Evidence for the </w:t>
            </w:r>
            <w:r w:rsidR="00406671">
              <w:t>w</w:t>
            </w:r>
            <w:r w:rsidR="00093458">
              <w:t xml:space="preserve">orld’s </w:t>
            </w:r>
            <w:r w:rsidR="00406671">
              <w:t>b</w:t>
            </w:r>
            <w:r w:rsidR="00093458">
              <w:t xml:space="preserve">est </w:t>
            </w:r>
            <w:r w:rsidR="00406671">
              <w:t>i</w:t>
            </w:r>
            <w:r w:rsidR="00093458">
              <w:t>nvestment</w:t>
            </w:r>
            <w:r w:rsidR="00406671">
              <w:t>”</w:t>
            </w:r>
          </w:p>
          <w:p w14:paraId="34AC0E51" w14:textId="77777777" w:rsidR="00473BF2" w:rsidRDefault="00473BF2" w:rsidP="00AE01CE"/>
          <w:p w14:paraId="3C7AB224" w14:textId="77EA8E65" w:rsidR="00092171" w:rsidRDefault="00473BF2" w:rsidP="00AE01CE">
            <w:r w:rsidRPr="00D53DD2">
              <w:rPr>
                <w:highlight w:val="yellow"/>
              </w:rPr>
              <w:t xml:space="preserve">Image: </w:t>
            </w:r>
            <w:hyperlink r:id="rId14" w:anchor=":~:text=What%20Works%20in%20Girls'%20Education%20is%20a%20compelling%20work%20for,and%20policies%20on%20girls'%20education." w:history="1">
              <w:r w:rsidR="005644CB" w:rsidRPr="00D53DD2">
                <w:rPr>
                  <w:rStyle w:val="Hyperlink"/>
                  <w:highlight w:val="yellow"/>
                </w:rPr>
                <w:t>book cover</w:t>
              </w:r>
            </w:hyperlink>
          </w:p>
          <w:p w14:paraId="5FCCD880" w14:textId="51015DDC" w:rsidR="00473BF2" w:rsidRDefault="00473BF2" w:rsidP="00AE01CE"/>
        </w:tc>
        <w:tc>
          <w:tcPr>
            <w:tcW w:w="1666" w:type="dxa"/>
          </w:tcPr>
          <w:p w14:paraId="509A9A57" w14:textId="211088CF" w:rsidR="00092171" w:rsidRDefault="00F63B51" w:rsidP="00AE01CE">
            <w:r>
              <w:t>Shape the g</w:t>
            </w:r>
            <w:r w:rsidR="00F6394D">
              <w:t xml:space="preserve">lobal agenda; </w:t>
            </w:r>
            <w:r>
              <w:t xml:space="preserve">Advance </w:t>
            </w:r>
            <w:r w:rsidR="00F6394D">
              <w:t>policy and practice</w:t>
            </w:r>
          </w:p>
        </w:tc>
        <w:tc>
          <w:tcPr>
            <w:tcW w:w="1889" w:type="dxa"/>
          </w:tcPr>
          <w:p w14:paraId="561FCE66" w14:textId="09DED8FC" w:rsidR="00092171" w:rsidRDefault="005C7433" w:rsidP="00F6394D">
            <w:r>
              <w:t xml:space="preserve">This </w:t>
            </w:r>
            <w:r w:rsidR="007939DE">
              <w:t>CU seminal publication</w:t>
            </w:r>
            <w:r w:rsidR="00BE14D0">
              <w:rPr>
                <w:color w:val="4D5156"/>
                <w:sz w:val="21"/>
                <w:szCs w:val="21"/>
                <w:shd w:val="clear" w:color="auto" w:fill="FFFFFF"/>
              </w:rPr>
              <w:t>⁠</w:t>
            </w:r>
            <w:r w:rsidR="00BE14D0">
              <w:rPr>
                <w:rFonts w:ascii="Roboto" w:hAnsi="Roboto"/>
                <w:color w:val="4D5156"/>
                <w:sz w:val="21"/>
                <w:szCs w:val="21"/>
                <w:shd w:val="clear" w:color="auto" w:fill="FFFFFF"/>
              </w:rPr>
              <w:t>—</w:t>
            </w:r>
            <w:r w:rsidR="00BE14D0">
              <w:rPr>
                <w:rFonts w:ascii="Roboto" w:hAnsi="Roboto"/>
                <w:color w:val="4D5156"/>
                <w:sz w:val="21"/>
                <w:szCs w:val="21"/>
                <w:shd w:val="clear" w:color="auto" w:fill="FFFFFF"/>
              </w:rPr>
              <w:t xml:space="preserve">later </w:t>
            </w:r>
            <w:r w:rsidR="007939DE">
              <w:t>updated in 2015</w:t>
            </w:r>
            <w:r w:rsidR="00BE14D0">
              <w:rPr>
                <w:color w:val="4D5156"/>
                <w:sz w:val="21"/>
                <w:szCs w:val="21"/>
                <w:shd w:val="clear" w:color="auto" w:fill="FFFFFF"/>
              </w:rPr>
              <w:t>⁠</w:t>
            </w:r>
            <w:r w:rsidR="00BE14D0">
              <w:rPr>
                <w:rFonts w:ascii="Roboto" w:hAnsi="Roboto"/>
                <w:color w:val="4D5156"/>
                <w:sz w:val="21"/>
                <w:szCs w:val="21"/>
                <w:shd w:val="clear" w:color="auto" w:fill="FFFFFF"/>
              </w:rPr>
              <w:t>—</w:t>
            </w:r>
            <w:r w:rsidR="00C8503B">
              <w:t>made the case for</w:t>
            </w:r>
            <w:r w:rsidR="00491F65">
              <w:t xml:space="preserve"> </w:t>
            </w:r>
            <w:r w:rsidR="00DF6014">
              <w:t xml:space="preserve">investing </w:t>
            </w:r>
            <w:r w:rsidR="00BE14D0">
              <w:t xml:space="preserve">in </w:t>
            </w:r>
            <w:r w:rsidR="00491F65">
              <w:t xml:space="preserve">girls’ education given </w:t>
            </w:r>
            <w:r w:rsidR="001254EC">
              <w:t xml:space="preserve">not only the benefits to girls themselves but </w:t>
            </w:r>
            <w:r w:rsidR="00491F65">
              <w:t xml:space="preserve">the </w:t>
            </w:r>
            <w:r w:rsidR="0075538B">
              <w:t xml:space="preserve">large number of positive ripple effects on </w:t>
            </w:r>
            <w:r w:rsidR="00583214">
              <w:t>children, families, and communities.</w:t>
            </w:r>
            <w:r w:rsidR="001254EC">
              <w:t xml:space="preserve"> It contributed to </w:t>
            </w:r>
            <w:r w:rsidR="00F456D9">
              <w:t xml:space="preserve">the growing attention and investment in gender equality in education and continues to be a practical reference for practitioners seeking </w:t>
            </w:r>
            <w:r w:rsidR="00D60C06">
              <w:t xml:space="preserve">guidance </w:t>
            </w:r>
            <w:r w:rsidR="00D60C06">
              <w:lastRenderedPageBreak/>
              <w:t>for effective approaches.</w:t>
            </w:r>
            <w:r w:rsidR="00583214">
              <w:t xml:space="preserve"> </w:t>
            </w:r>
            <w:r w:rsidR="00DF6014">
              <w:t xml:space="preserve"> </w:t>
            </w:r>
          </w:p>
        </w:tc>
      </w:tr>
      <w:tr w:rsidR="00546AAA" w14:paraId="1A420F38" w14:textId="77777777" w:rsidTr="00406671">
        <w:tc>
          <w:tcPr>
            <w:tcW w:w="717" w:type="dxa"/>
            <w:gridSpan w:val="2"/>
          </w:tcPr>
          <w:p w14:paraId="7CD96B34" w14:textId="57AB1CF9" w:rsidR="00FF4C3D" w:rsidRDefault="008D3DAE">
            <w:r>
              <w:lastRenderedPageBreak/>
              <w:t>2009</w:t>
            </w:r>
          </w:p>
        </w:tc>
        <w:tc>
          <w:tcPr>
            <w:tcW w:w="5078" w:type="dxa"/>
          </w:tcPr>
          <w:p w14:paraId="1C3FD0BC" w14:textId="086547E5" w:rsidR="00FF4C3D" w:rsidRDefault="000B0C54">
            <w:r>
              <w:t xml:space="preserve">Publication of </w:t>
            </w:r>
            <w:r w:rsidR="00406671">
              <w:t>“</w:t>
            </w:r>
            <w:r w:rsidR="0046133F">
              <w:t xml:space="preserve">A </w:t>
            </w:r>
            <w:r w:rsidR="00406671">
              <w:t>g</w:t>
            </w:r>
            <w:r w:rsidR="0046133F">
              <w:t xml:space="preserve">lobal </w:t>
            </w:r>
            <w:r w:rsidR="00406671">
              <w:t>e</w:t>
            </w:r>
            <w:r w:rsidR="0046133F">
              <w:t xml:space="preserve">ducation </w:t>
            </w:r>
            <w:r w:rsidR="00406671">
              <w:t>f</w:t>
            </w:r>
            <w:r w:rsidR="0046133F">
              <w:t xml:space="preserve">und: Toward </w:t>
            </w:r>
            <w:r w:rsidR="00406671">
              <w:t>a</w:t>
            </w:r>
            <w:r w:rsidR="0046133F">
              <w:t xml:space="preserve"> </w:t>
            </w:r>
            <w:r w:rsidR="00406671">
              <w:t>t</w:t>
            </w:r>
            <w:r w:rsidR="0046133F">
              <w:t xml:space="preserve">rue </w:t>
            </w:r>
            <w:r w:rsidR="00406671">
              <w:t>g</w:t>
            </w:r>
            <w:r w:rsidR="0046133F">
              <w:t xml:space="preserve">lobal </w:t>
            </w:r>
            <w:r w:rsidR="00406671">
              <w:t>c</w:t>
            </w:r>
            <w:r w:rsidR="0046133F">
              <w:t xml:space="preserve">ompact on </w:t>
            </w:r>
            <w:r w:rsidR="00406671">
              <w:t>u</w:t>
            </w:r>
            <w:r w:rsidR="0046133F">
              <w:t xml:space="preserve">niversal </w:t>
            </w:r>
            <w:r w:rsidR="00406671">
              <w:t>e</w:t>
            </w:r>
            <w:r w:rsidR="0046133F">
              <w:t>ducation</w:t>
            </w:r>
            <w:r w:rsidR="00406671">
              <w:t>”</w:t>
            </w:r>
            <w:r w:rsidR="0046133F">
              <w:t xml:space="preserve"> </w:t>
            </w:r>
          </w:p>
          <w:p w14:paraId="0676FD35" w14:textId="77777777" w:rsidR="00D65B19" w:rsidRDefault="00D65B19"/>
          <w:p w14:paraId="3BF2A91F" w14:textId="52E641C2" w:rsidR="00D65B19" w:rsidRDefault="00D65B19">
            <w:r w:rsidRPr="00D53DD2">
              <w:rPr>
                <w:highlight w:val="yellow"/>
              </w:rPr>
              <w:t>Image:</w:t>
            </w:r>
            <w:r w:rsidR="00782ACC">
              <w:t xml:space="preserve"> </w:t>
            </w:r>
            <w:r w:rsidR="00782ACC" w:rsidRPr="00D53DD2">
              <w:rPr>
                <w:highlight w:val="yellow"/>
              </w:rPr>
              <w:t>https://www.brookings.edu/wp-content/uploads/2016/06/global-compact-policy-guide_english.pdf</w:t>
            </w:r>
          </w:p>
        </w:tc>
        <w:tc>
          <w:tcPr>
            <w:tcW w:w="1666" w:type="dxa"/>
          </w:tcPr>
          <w:p w14:paraId="674ECE38" w14:textId="4536FD8F" w:rsidR="00FF4C3D" w:rsidRDefault="00FC3D99" w:rsidP="00EF44F1">
            <w:r>
              <w:t>Shape the g</w:t>
            </w:r>
            <w:r w:rsidR="00095CC7">
              <w:t>lobal agenda</w:t>
            </w:r>
          </w:p>
        </w:tc>
        <w:tc>
          <w:tcPr>
            <w:tcW w:w="1889" w:type="dxa"/>
          </w:tcPr>
          <w:p w14:paraId="554A30E1" w14:textId="5E1A1E0D" w:rsidR="00FF4C3D" w:rsidRDefault="00E16AA0" w:rsidP="00095CC7">
            <w:r>
              <w:t xml:space="preserve">Proposing a </w:t>
            </w:r>
            <w:r w:rsidR="00544632">
              <w:t xml:space="preserve">blueprint for </w:t>
            </w:r>
            <w:r w:rsidR="00194C8C">
              <w:t xml:space="preserve">reforming the current global architecture </w:t>
            </w:r>
            <w:r w:rsidR="003C4CAF">
              <w:t xml:space="preserve">supporting education, </w:t>
            </w:r>
            <w:r w:rsidR="00E97E05">
              <w:t xml:space="preserve">this document </w:t>
            </w:r>
            <w:r w:rsidR="003C4CAF">
              <w:t xml:space="preserve">helped pave the way for reforming the </w:t>
            </w:r>
            <w:r w:rsidR="0042323B">
              <w:t xml:space="preserve">Education </w:t>
            </w:r>
            <w:r w:rsidR="0095455B">
              <w:t>f</w:t>
            </w:r>
            <w:r w:rsidR="0042323B">
              <w:t>or All</w:t>
            </w:r>
            <w:r w:rsidR="0095455B">
              <w:t xml:space="preserve"> -</w:t>
            </w:r>
            <w:r w:rsidR="0042323B">
              <w:t xml:space="preserve"> Fast Track Initiative into the existing Global Partnership for Education</w:t>
            </w:r>
            <w:r w:rsidR="00136503">
              <w:t xml:space="preserve"> (GPE). Today, GPE hosts a $4 billion fund </w:t>
            </w:r>
            <w:r w:rsidR="007F3CE9">
              <w:t>supporting education system</w:t>
            </w:r>
            <w:r w:rsidR="0095455B">
              <w:t>s</w:t>
            </w:r>
            <w:r w:rsidR="007F3CE9">
              <w:t xml:space="preserve"> transformation in over </w:t>
            </w:r>
            <w:r w:rsidR="005C73AB">
              <w:t>80</w:t>
            </w:r>
            <w:r w:rsidR="007F3CE9">
              <w:t xml:space="preserve"> low</w:t>
            </w:r>
            <w:r w:rsidR="005C73AB">
              <w:t>er-</w:t>
            </w:r>
            <w:r w:rsidR="007F3CE9">
              <w:t xml:space="preserve">income countries. </w:t>
            </w:r>
            <w:r w:rsidR="00136503">
              <w:t xml:space="preserve"> </w:t>
            </w:r>
          </w:p>
        </w:tc>
      </w:tr>
      <w:tr w:rsidR="00406671" w14:paraId="1A64A00B" w14:textId="77777777" w:rsidTr="00406671">
        <w:tc>
          <w:tcPr>
            <w:tcW w:w="717" w:type="dxa"/>
            <w:gridSpan w:val="2"/>
          </w:tcPr>
          <w:p w14:paraId="5262C13F" w14:textId="18A2055E" w:rsidR="00406671" w:rsidRDefault="00406671" w:rsidP="00406671">
            <w:r>
              <w:t>2011</w:t>
            </w:r>
          </w:p>
        </w:tc>
        <w:tc>
          <w:tcPr>
            <w:tcW w:w="5078" w:type="dxa"/>
          </w:tcPr>
          <w:p w14:paraId="1AB4A198" w14:textId="77777777" w:rsidR="00406671" w:rsidRDefault="00406671" w:rsidP="00406671">
            <w:r>
              <w:t>Publication of the “Global Compact on Learning”</w:t>
            </w:r>
          </w:p>
          <w:p w14:paraId="1EA811C6" w14:textId="77777777" w:rsidR="00406671" w:rsidRDefault="00406671" w:rsidP="00406671"/>
          <w:p w14:paraId="319C72BE" w14:textId="30BE8C55" w:rsidR="00406671" w:rsidRDefault="00406671" w:rsidP="00406671">
            <w:r w:rsidRPr="00D53DD2">
              <w:rPr>
                <w:highlight w:val="yellow"/>
              </w:rPr>
              <w:t>Image:</w:t>
            </w:r>
            <w:hyperlink r:id="rId15" w:history="1">
              <w:r w:rsidRPr="00D53DD2">
                <w:rPr>
                  <w:rStyle w:val="Hyperlink"/>
                  <w:highlight w:val="yellow"/>
                </w:rPr>
                <w:t xml:space="preserve"> GCL</w:t>
              </w:r>
            </w:hyperlink>
          </w:p>
        </w:tc>
        <w:tc>
          <w:tcPr>
            <w:tcW w:w="1666" w:type="dxa"/>
          </w:tcPr>
          <w:p w14:paraId="246B28A4" w14:textId="77777777" w:rsidR="00406671" w:rsidRDefault="00406671" w:rsidP="00406671">
            <w:r>
              <w:t>Shape the global agenda;</w:t>
            </w:r>
          </w:p>
          <w:p w14:paraId="59EAA93B" w14:textId="3E02E96E" w:rsidR="00406671" w:rsidRDefault="00406671" w:rsidP="00406671">
            <w:r>
              <w:t>Incubate g</w:t>
            </w:r>
            <w:r w:rsidRPr="002F6BEF">
              <w:t>lobal education organization and tools</w:t>
            </w:r>
          </w:p>
        </w:tc>
        <w:tc>
          <w:tcPr>
            <w:tcW w:w="1889" w:type="dxa"/>
          </w:tcPr>
          <w:p w14:paraId="1A6B1DD8" w14:textId="10C1F03D" w:rsidR="00406671" w:rsidRDefault="00406671" w:rsidP="00406671">
            <w:r>
              <w:t>Developed with over 60 global education organizations, the “</w:t>
            </w:r>
            <w:hyperlink r:id="rId16" w:history="1">
              <w:r w:rsidRPr="00EA6C4E">
                <w:rPr>
                  <w:rStyle w:val="Hyperlink"/>
                </w:rPr>
                <w:t>Global Compact on Learning</w:t>
              </w:r>
            </w:hyperlink>
            <w:r>
              <w:t xml:space="preserve">” called for a paradigm shift in the global agenda to focus on “access plus learning.” Reflecting a shared agenda across numerous stakeholders, the recommendations were taken up </w:t>
            </w:r>
            <w:r>
              <w:lastRenderedPageBreak/>
              <w:t xml:space="preserve">by the UN Secretary General, who launched the first </w:t>
            </w:r>
            <w:hyperlink r:id="rId17" w:history="1">
              <w:r w:rsidRPr="00844237">
                <w:rPr>
                  <w:rStyle w:val="Hyperlink"/>
                </w:rPr>
                <w:t>UN Special Envoy for Global Education</w:t>
              </w:r>
            </w:hyperlink>
            <w:r>
              <w:t xml:space="preserve"> office.  Former U.K. Prime Minister Gordon Brown was appointed to the role and his Global Education First Initiative elevated the “access plus learning” agenda on the global stage, particularly in the lead-in to the development of the new set of global goals. CUE was invited to play a central advisory role in the development of both initiatives. </w:t>
            </w:r>
          </w:p>
        </w:tc>
      </w:tr>
      <w:tr w:rsidR="00406671" w14:paraId="381ED8DF" w14:textId="77777777" w:rsidTr="00406671">
        <w:tc>
          <w:tcPr>
            <w:tcW w:w="717" w:type="dxa"/>
            <w:gridSpan w:val="2"/>
          </w:tcPr>
          <w:p w14:paraId="75F9E196" w14:textId="5820DC94" w:rsidR="00406671" w:rsidRDefault="00406671" w:rsidP="00406671">
            <w:r>
              <w:lastRenderedPageBreak/>
              <w:t>2011</w:t>
            </w:r>
          </w:p>
        </w:tc>
        <w:tc>
          <w:tcPr>
            <w:tcW w:w="5078" w:type="dxa"/>
          </w:tcPr>
          <w:p w14:paraId="1FA1F383" w14:textId="634FD00D" w:rsidR="00406671" w:rsidRDefault="00406671" w:rsidP="00406671">
            <w:r>
              <w:t xml:space="preserve">Publication of “The </w:t>
            </w:r>
            <w:r w:rsidR="00B332C3">
              <w:t>c</w:t>
            </w:r>
            <w:r>
              <w:t xml:space="preserve">ase for a </w:t>
            </w:r>
            <w:r w:rsidR="00B332C3">
              <w:t>g</w:t>
            </w:r>
            <w:r>
              <w:t xml:space="preserve">lobal </w:t>
            </w:r>
            <w:r w:rsidR="00B332C3">
              <w:t>b</w:t>
            </w:r>
            <w:r>
              <w:t xml:space="preserve">usiness </w:t>
            </w:r>
            <w:r w:rsidR="00B332C3">
              <w:t>c</w:t>
            </w:r>
            <w:r>
              <w:t xml:space="preserve">oalition for </w:t>
            </w:r>
            <w:r w:rsidR="00B332C3">
              <w:t>e</w:t>
            </w:r>
            <w:r>
              <w:t>ducation”</w:t>
            </w:r>
          </w:p>
          <w:p w14:paraId="77AD1651" w14:textId="77777777" w:rsidR="00406671" w:rsidRDefault="00406671" w:rsidP="00406671"/>
          <w:p w14:paraId="0E5024D1" w14:textId="135A6C57" w:rsidR="00406671" w:rsidRDefault="00406671" w:rsidP="00406671">
            <w:r w:rsidRPr="00D53DD2">
              <w:rPr>
                <w:highlight w:val="yellow"/>
              </w:rPr>
              <w:t xml:space="preserve">Image: </w:t>
            </w:r>
            <w:hyperlink r:id="rId18" w:history="1">
              <w:r w:rsidRPr="00D53DD2">
                <w:rPr>
                  <w:rStyle w:val="Hyperlink"/>
                  <w:highlight w:val="yellow"/>
                </w:rPr>
                <w:t>publication</w:t>
              </w:r>
            </w:hyperlink>
            <w:r w:rsidRPr="00D53DD2">
              <w:rPr>
                <w:highlight w:val="yellow"/>
              </w:rPr>
              <w:t xml:space="preserve"> / </w:t>
            </w:r>
            <w:hyperlink r:id="rId19" w:history="1">
              <w:r w:rsidRPr="00D53DD2">
                <w:rPr>
                  <w:rStyle w:val="Hyperlink"/>
                  <w:highlight w:val="yellow"/>
                </w:rPr>
                <w:t>screenshot of org</w:t>
              </w:r>
            </w:hyperlink>
          </w:p>
        </w:tc>
        <w:tc>
          <w:tcPr>
            <w:tcW w:w="1666" w:type="dxa"/>
          </w:tcPr>
          <w:p w14:paraId="1BBF16CE" w14:textId="2AFFAF1E" w:rsidR="00406671" w:rsidRDefault="00406671" w:rsidP="00406671">
            <w:r>
              <w:t xml:space="preserve">Shape the global agenda; </w:t>
            </w:r>
          </w:p>
          <w:p w14:paraId="33A11A01" w14:textId="43A62858" w:rsidR="00406671" w:rsidRDefault="00406671" w:rsidP="00406671">
            <w:r>
              <w:t xml:space="preserve">Incubate global education </w:t>
            </w:r>
            <w:r w:rsidRPr="002F6BEF">
              <w:t>organization and tools</w:t>
            </w:r>
          </w:p>
        </w:tc>
        <w:tc>
          <w:tcPr>
            <w:tcW w:w="1889" w:type="dxa"/>
          </w:tcPr>
          <w:p w14:paraId="466F550E" w14:textId="381D9742" w:rsidR="00406671" w:rsidRDefault="00B332C3" w:rsidP="00406671">
            <w:hyperlink r:id="rId20" w:history="1">
              <w:r w:rsidR="00406671" w:rsidRPr="00B332C3">
                <w:rPr>
                  <w:rStyle w:val="Hyperlink"/>
                </w:rPr>
                <w:t>CUE’s analysis</w:t>
              </w:r>
            </w:hyperlink>
            <w:r w:rsidR="00406671">
              <w:t xml:space="preserve"> demonstrated that although the business community has a large stake in education outcomes and many assets to help improve education globally, the community was lacking a </w:t>
            </w:r>
            <w:r w:rsidR="00406671">
              <w:lastRenderedPageBreak/>
              <w:t xml:space="preserve">coordinated mechanism for engaging effectively. In 2012, CUE’s recommendations were taken up by Sarah Brown, and today the Global Business Coalition for Education is a global nonprofit serving as a hub for the business community to advance the UN Sustainable Development Goals on education.   </w:t>
            </w:r>
          </w:p>
        </w:tc>
      </w:tr>
      <w:tr w:rsidR="00406671" w14:paraId="034DC246" w14:textId="77777777" w:rsidTr="00406671">
        <w:tc>
          <w:tcPr>
            <w:tcW w:w="717" w:type="dxa"/>
            <w:gridSpan w:val="2"/>
          </w:tcPr>
          <w:p w14:paraId="215266A4" w14:textId="5EE4EA01" w:rsidR="00406671" w:rsidRDefault="00406671" w:rsidP="00406671">
            <w:r>
              <w:lastRenderedPageBreak/>
              <w:t>2012</w:t>
            </w:r>
          </w:p>
        </w:tc>
        <w:tc>
          <w:tcPr>
            <w:tcW w:w="5078" w:type="dxa"/>
          </w:tcPr>
          <w:p w14:paraId="4E0B6CF1" w14:textId="3EB35694" w:rsidR="00406671" w:rsidRDefault="00406671" w:rsidP="00406671">
            <w:r>
              <w:t xml:space="preserve">Launch of </w:t>
            </w:r>
            <w:r w:rsidR="00B332C3">
              <w:t xml:space="preserve">the </w:t>
            </w:r>
            <w:r>
              <w:t>Learning Metrics Task Force</w:t>
            </w:r>
          </w:p>
          <w:p w14:paraId="09210211" w14:textId="77777777" w:rsidR="00406671" w:rsidRDefault="00406671" w:rsidP="00406671"/>
          <w:p w14:paraId="71385B0C" w14:textId="10F72A2A" w:rsidR="00406671" w:rsidRDefault="00406671" w:rsidP="00406671">
            <w:r w:rsidRPr="00D53DD2">
              <w:rPr>
                <w:highlight w:val="yellow"/>
              </w:rPr>
              <w:t xml:space="preserve">Image: Embed video: </w:t>
            </w:r>
            <w:hyperlink r:id="rId21" w:history="1">
              <w:r w:rsidRPr="00D53DD2">
                <w:rPr>
                  <w:rStyle w:val="Hyperlink"/>
                  <w:highlight w:val="yellow"/>
                </w:rPr>
                <w:t>https://www.youtube.com/watch?v=STAbgJa53pM</w:t>
              </w:r>
            </w:hyperlink>
            <w:r>
              <w:t xml:space="preserve"> </w:t>
            </w:r>
          </w:p>
        </w:tc>
        <w:tc>
          <w:tcPr>
            <w:tcW w:w="1666" w:type="dxa"/>
          </w:tcPr>
          <w:p w14:paraId="43419523" w14:textId="77777777" w:rsidR="00406671" w:rsidRDefault="00406671" w:rsidP="00406671">
            <w:r>
              <w:t>Shape the global agenda;</w:t>
            </w:r>
          </w:p>
          <w:p w14:paraId="01F29C32" w14:textId="7E34A744" w:rsidR="00406671" w:rsidRDefault="00406671" w:rsidP="00406671">
            <w:r>
              <w:t>Incubate global education organization and tools</w:t>
            </w:r>
            <w:r w:rsidDel="00DA2772">
              <w:t xml:space="preserve"> </w:t>
            </w:r>
          </w:p>
        </w:tc>
        <w:tc>
          <w:tcPr>
            <w:tcW w:w="1889" w:type="dxa"/>
          </w:tcPr>
          <w:p w14:paraId="3A7DD4A7" w14:textId="5F4BFBE7" w:rsidR="00406671" w:rsidRDefault="00406671" w:rsidP="00406671">
            <w:r>
              <w:t xml:space="preserve">Co-convened by the UNESCO Institute of Statistics (UIS) and CUE, the task force brought together all the major global education actors with ministries of education across 100 countries to identify the “what” and “how” of measuring learning globally. UIS began to collect internationally comparable data on learning, which it had not done previously. </w:t>
            </w:r>
            <w:r>
              <w:lastRenderedPageBreak/>
              <w:t xml:space="preserve">The task force recommendations focused on how to strengthen learning assessments and the use of learning assessment data, with 15 champion countries adopting the recommendations and a new global initiative, the </w:t>
            </w:r>
            <w:hyperlink r:id="rId22" w:history="1">
              <w:r w:rsidRPr="005C790B">
                <w:rPr>
                  <w:rStyle w:val="Hyperlink"/>
                </w:rPr>
                <w:t>Global Alliance to Monitor Learning</w:t>
              </w:r>
            </w:hyperlink>
            <w:r>
              <w:t xml:space="preserve">, emerged. The task force work contributed significantly to learning becoming a central focus for the new </w:t>
            </w:r>
            <w:hyperlink r:id="rId23" w:history="1">
              <w:r w:rsidRPr="00F77068">
                <w:rPr>
                  <w:rStyle w:val="Hyperlink"/>
                </w:rPr>
                <w:t>UN Su</w:t>
              </w:r>
              <w:r w:rsidRPr="00F77068">
                <w:rPr>
                  <w:rStyle w:val="Hyperlink"/>
                </w:rPr>
                <w:t>s</w:t>
              </w:r>
              <w:r w:rsidRPr="00F77068">
                <w:rPr>
                  <w:rStyle w:val="Hyperlink"/>
                </w:rPr>
                <w:t>tainable Development Goal on Education</w:t>
              </w:r>
            </w:hyperlink>
            <w:r>
              <w:t xml:space="preserve">.    </w:t>
            </w:r>
          </w:p>
          <w:p w14:paraId="40AFABF3" w14:textId="77777777" w:rsidR="00406671" w:rsidRDefault="00406671" w:rsidP="00406671"/>
          <w:p w14:paraId="1A09C16A" w14:textId="3C30A326" w:rsidR="00406671" w:rsidRDefault="00406671" w:rsidP="00406671">
            <w:r>
              <w:rPr>
                <w:rFonts w:ascii="PT Serif" w:hAnsi="PT Serif"/>
                <w:color w:val="101010"/>
                <w:sz w:val="27"/>
                <w:szCs w:val="27"/>
                <w:shd w:val="clear" w:color="auto" w:fill="FAFAFA"/>
              </w:rPr>
              <w:t> </w:t>
            </w:r>
          </w:p>
        </w:tc>
      </w:tr>
      <w:tr w:rsidR="00406671" w:rsidRPr="00092171" w14:paraId="18B9E18F" w14:textId="77777777" w:rsidTr="00406671">
        <w:tc>
          <w:tcPr>
            <w:tcW w:w="717" w:type="dxa"/>
            <w:gridSpan w:val="2"/>
          </w:tcPr>
          <w:p w14:paraId="1CD37E52" w14:textId="793CAB4B" w:rsidR="00406671" w:rsidRDefault="00406671" w:rsidP="00406671">
            <w:r>
              <w:lastRenderedPageBreak/>
              <w:t>2012</w:t>
            </w:r>
          </w:p>
        </w:tc>
        <w:tc>
          <w:tcPr>
            <w:tcW w:w="5078" w:type="dxa"/>
          </w:tcPr>
          <w:p w14:paraId="453D1A44" w14:textId="4463AFB8" w:rsidR="00406671" w:rsidRDefault="00406671" w:rsidP="00406671">
            <w:r>
              <w:t>Launch of the Echidna Global Scholars Program</w:t>
            </w:r>
          </w:p>
          <w:p w14:paraId="3E66C3D0" w14:textId="77777777" w:rsidR="00406671" w:rsidRDefault="00406671" w:rsidP="00406671"/>
          <w:p w14:paraId="78A1DA6A" w14:textId="58B9DDD9" w:rsidR="00406671" w:rsidRDefault="00406671" w:rsidP="00406671">
            <w:r w:rsidRPr="00D53DD2">
              <w:rPr>
                <w:highlight w:val="yellow"/>
              </w:rPr>
              <w:t xml:space="preserve">Image: Embed video: </w:t>
            </w:r>
            <w:hyperlink r:id="rId24" w:history="1">
              <w:r w:rsidRPr="00D53DD2">
                <w:rPr>
                  <w:rStyle w:val="Hyperlink"/>
                  <w:highlight w:val="yellow"/>
                </w:rPr>
                <w:t>https://www.youtube.com/watch?v=Ix1uHsz6Wo8</w:t>
              </w:r>
            </w:hyperlink>
            <w:r>
              <w:t xml:space="preserve"> </w:t>
            </w:r>
            <w:r w:rsidRPr="00830060" w:rsidDel="00830060">
              <w:t xml:space="preserve"> </w:t>
            </w:r>
          </w:p>
        </w:tc>
        <w:tc>
          <w:tcPr>
            <w:tcW w:w="1666" w:type="dxa"/>
          </w:tcPr>
          <w:p w14:paraId="783BDBD4" w14:textId="1495AF46" w:rsidR="00406671" w:rsidRDefault="00406671" w:rsidP="00406671">
            <w:r>
              <w:t>Support local leaders; Catalyze education systems transformation</w:t>
            </w:r>
          </w:p>
        </w:tc>
        <w:tc>
          <w:tcPr>
            <w:tcW w:w="1889" w:type="dxa"/>
          </w:tcPr>
          <w:p w14:paraId="74451169" w14:textId="2E85DC37" w:rsidR="00406671" w:rsidRPr="00092171" w:rsidRDefault="00406671" w:rsidP="00406671">
            <w:pPr>
              <w:rPr>
                <w:rFonts w:ascii="Calibri" w:eastAsia="Calibri" w:hAnsi="Calibri" w:cs="Calibri"/>
                <w:color w:val="000000" w:themeColor="text1"/>
              </w:rPr>
            </w:pPr>
            <w:r w:rsidRPr="3DC76663">
              <w:rPr>
                <w:rFonts w:ascii="Calibri" w:eastAsia="Calibri" w:hAnsi="Calibri" w:cs="Calibri"/>
                <w:color w:val="101010"/>
              </w:rPr>
              <w:t xml:space="preserve">The Echidna Global Scholars Program amplifies the impact of local leaders advancing gender equality in and through education across </w:t>
            </w:r>
            <w:r w:rsidRPr="3DC76663">
              <w:rPr>
                <w:rFonts w:ascii="Calibri" w:eastAsia="Calibri" w:hAnsi="Calibri" w:cs="Calibri"/>
                <w:color w:val="101010"/>
              </w:rPr>
              <w:lastRenderedPageBreak/>
              <w:t xml:space="preserve">the Global South. </w:t>
            </w:r>
            <w:r>
              <w:rPr>
                <w:rFonts w:ascii="Calibri" w:eastAsia="Calibri" w:hAnsi="Calibri" w:cs="Calibri"/>
                <w:color w:val="101010"/>
              </w:rPr>
              <w:t>These scholars—now numbering more than</w:t>
            </w:r>
            <w:r w:rsidRPr="3DC76663">
              <w:rPr>
                <w:rFonts w:ascii="Calibri" w:eastAsia="Calibri" w:hAnsi="Calibri" w:cs="Calibri"/>
                <w:color w:val="101010"/>
              </w:rPr>
              <w:t xml:space="preserve"> 3</w:t>
            </w:r>
            <w:r>
              <w:rPr>
                <w:rFonts w:ascii="Calibri" w:eastAsia="Calibri" w:hAnsi="Calibri" w:cs="Calibri"/>
                <w:color w:val="101010"/>
              </w:rPr>
              <w:t>0</w:t>
            </w:r>
            <w:r w:rsidRPr="3DC76663">
              <w:rPr>
                <w:rFonts w:ascii="Calibri" w:eastAsia="Calibri" w:hAnsi="Calibri" w:cs="Calibri"/>
                <w:color w:val="101010"/>
              </w:rPr>
              <w:t xml:space="preserve"> alumni in 20 different countries</w:t>
            </w:r>
            <w:r>
              <w:rPr>
                <w:rFonts w:ascii="Calibri" w:eastAsia="Calibri" w:hAnsi="Calibri" w:cs="Calibri"/>
                <w:color w:val="101010"/>
              </w:rPr>
              <w:t xml:space="preserve">—have </w:t>
            </w:r>
            <w:r w:rsidRPr="3DC76663">
              <w:rPr>
                <w:rFonts w:ascii="Calibri" w:eastAsia="Calibri" w:hAnsi="Calibri" w:cs="Calibri"/>
                <w:color w:val="000000" w:themeColor="text1"/>
              </w:rPr>
              <w:t xml:space="preserve">been fundamental to </w:t>
            </w:r>
            <w:r>
              <w:rPr>
                <w:rFonts w:ascii="Calibri" w:eastAsia="Calibri" w:hAnsi="Calibri" w:cs="Calibri"/>
                <w:color w:val="000000" w:themeColor="text1"/>
              </w:rPr>
              <w:t xml:space="preserve">helping to </w:t>
            </w:r>
            <w:r w:rsidRPr="3DC76663">
              <w:rPr>
                <w:rFonts w:ascii="Calibri" w:eastAsia="Calibri" w:hAnsi="Calibri" w:cs="Calibri"/>
                <w:color w:val="000000" w:themeColor="text1"/>
              </w:rPr>
              <w:t>shap</w:t>
            </w:r>
            <w:r>
              <w:rPr>
                <w:rFonts w:ascii="Calibri" w:eastAsia="Calibri" w:hAnsi="Calibri" w:cs="Calibri"/>
                <w:color w:val="000000" w:themeColor="text1"/>
              </w:rPr>
              <w:t>e organizations such as</w:t>
            </w:r>
            <w:r w:rsidRPr="3DC76663">
              <w:rPr>
                <w:rFonts w:ascii="Calibri" w:eastAsia="Calibri" w:hAnsi="Calibri" w:cs="Calibri"/>
                <w:color w:val="000000" w:themeColor="text1"/>
              </w:rPr>
              <w:t xml:space="preserve"> the Malala Fund and the Girls Opportunity Alliance, and continue to</w:t>
            </w:r>
            <w:r w:rsidRPr="3DC76663">
              <w:rPr>
                <w:rFonts w:ascii="Calibri" w:eastAsia="Calibri" w:hAnsi="Calibri" w:cs="Calibri"/>
                <w:color w:val="101010"/>
              </w:rPr>
              <w:t xml:space="preserve"> enrich the </w:t>
            </w:r>
            <w:r>
              <w:rPr>
                <w:rFonts w:ascii="Calibri" w:eastAsia="Calibri" w:hAnsi="Calibri" w:cs="Calibri"/>
                <w:color w:val="101010"/>
              </w:rPr>
              <w:t xml:space="preserve">girls’ education evidence </w:t>
            </w:r>
            <w:r w:rsidRPr="3DC76663">
              <w:rPr>
                <w:rFonts w:ascii="Calibri" w:eastAsia="Calibri" w:hAnsi="Calibri" w:cs="Calibri"/>
                <w:color w:val="101010"/>
              </w:rPr>
              <w:t xml:space="preserve">base, expand networks, </w:t>
            </w:r>
            <w:r w:rsidRPr="3DC76663">
              <w:rPr>
                <w:rFonts w:ascii="Calibri" w:eastAsia="Calibri" w:hAnsi="Calibri" w:cs="Calibri"/>
                <w:color w:val="000000" w:themeColor="text1"/>
              </w:rPr>
              <w:t>transform systems, and construct new policies and practices that improve the lives of girls and young women.</w:t>
            </w:r>
          </w:p>
        </w:tc>
      </w:tr>
      <w:tr w:rsidR="00406671" w14:paraId="77E10452" w14:textId="77777777" w:rsidTr="00406671">
        <w:tc>
          <w:tcPr>
            <w:tcW w:w="688" w:type="dxa"/>
          </w:tcPr>
          <w:p w14:paraId="51B8DA76" w14:textId="5EFEA338" w:rsidR="00406671" w:rsidRDefault="00406671" w:rsidP="00406671">
            <w:r>
              <w:lastRenderedPageBreak/>
              <w:t xml:space="preserve">2015 </w:t>
            </w:r>
          </w:p>
        </w:tc>
        <w:tc>
          <w:tcPr>
            <w:tcW w:w="5107" w:type="dxa"/>
            <w:gridSpan w:val="2"/>
          </w:tcPr>
          <w:p w14:paraId="370E25D7" w14:textId="5A444B29" w:rsidR="00406671" w:rsidRDefault="00406671" w:rsidP="00406671">
            <w:r>
              <w:t>Publication of “The p</w:t>
            </w:r>
            <w:r w:rsidRPr="00B24C28">
              <w:t>otential and limitations of impact bonds</w:t>
            </w:r>
            <w:r>
              <w:t>” report</w:t>
            </w:r>
          </w:p>
          <w:p w14:paraId="2308453B" w14:textId="77777777" w:rsidR="00406671" w:rsidRDefault="00406671" w:rsidP="00406671"/>
          <w:p w14:paraId="3D107542" w14:textId="4EB861D3" w:rsidR="00406671" w:rsidRDefault="00406671" w:rsidP="00406671">
            <w:r w:rsidRPr="00D53DD2">
              <w:rPr>
                <w:highlight w:val="yellow"/>
              </w:rPr>
              <w:t xml:space="preserve">Image: Cover image from </w:t>
            </w:r>
            <w:hyperlink r:id="rId25" w:history="1">
              <w:r w:rsidRPr="00D53DD2">
                <w:rPr>
                  <w:rStyle w:val="Hyperlink"/>
                  <w:highlight w:val="yellow"/>
                </w:rPr>
                <w:t>this page</w:t>
              </w:r>
            </w:hyperlink>
            <w:r w:rsidRPr="00D53DD2">
              <w:rPr>
                <w:highlight w:val="yellow"/>
              </w:rPr>
              <w:t>.</w:t>
            </w:r>
          </w:p>
          <w:p w14:paraId="3BA1CAAB" w14:textId="0BDD1BA8" w:rsidR="00406671" w:rsidRDefault="00406671" w:rsidP="00406671"/>
        </w:tc>
        <w:tc>
          <w:tcPr>
            <w:tcW w:w="1666" w:type="dxa"/>
          </w:tcPr>
          <w:p w14:paraId="48E8C7E1" w14:textId="0DE4FE43" w:rsidR="00406671" w:rsidRDefault="00406671" w:rsidP="00406671">
            <w:r>
              <w:t>Shape the global agenda</w:t>
            </w:r>
          </w:p>
        </w:tc>
        <w:tc>
          <w:tcPr>
            <w:tcW w:w="1889" w:type="dxa"/>
          </w:tcPr>
          <w:p w14:paraId="2548E0B3" w14:textId="4CCFAF89" w:rsidR="00406671" w:rsidRDefault="00406671" w:rsidP="00406671">
            <w:r>
              <w:t xml:space="preserve">Since the publication of its </w:t>
            </w:r>
            <w:hyperlink r:id="rId26" w:history="1">
              <w:r w:rsidRPr="005E22BB">
                <w:rPr>
                  <w:rStyle w:val="Hyperlink"/>
                </w:rPr>
                <w:t>seminal report</w:t>
              </w:r>
            </w:hyperlink>
            <w:r>
              <w:t xml:space="preserve"> in 2015, CUE has</w:t>
            </w:r>
            <w:r>
              <w:t xml:space="preserve"> </w:t>
            </w:r>
            <w:r>
              <w:t xml:space="preserve">been the premier thought leader in examining the merits of innovative financing mechanisms, such as social and development impact bonds in advancing </w:t>
            </w:r>
            <w:r>
              <w:lastRenderedPageBreak/>
              <w:t>education outcomes. In first examining impact bonds in relation to their potential use in education and early childhood development, CUE has helped raise understanding, awareness, and interest in the approach and works with multiple actors supporting important efforts to improve the lives and livelihoods of children across the globe. CUE continues to provide ongoing tracking of the field, including recent efforts to bring these innovative mechanisms to scale in partnership with government.</w:t>
            </w:r>
          </w:p>
        </w:tc>
      </w:tr>
      <w:tr w:rsidR="00406671" w14:paraId="6C03772B" w14:textId="77777777" w:rsidTr="00406671">
        <w:tc>
          <w:tcPr>
            <w:tcW w:w="717" w:type="dxa"/>
            <w:gridSpan w:val="2"/>
          </w:tcPr>
          <w:p w14:paraId="3DCCBBAC" w14:textId="77777777" w:rsidR="00406671" w:rsidRDefault="00406671" w:rsidP="00406671">
            <w:r>
              <w:lastRenderedPageBreak/>
              <w:t>2015</w:t>
            </w:r>
          </w:p>
        </w:tc>
        <w:tc>
          <w:tcPr>
            <w:tcW w:w="5078" w:type="dxa"/>
          </w:tcPr>
          <w:p w14:paraId="0CD2AAC0" w14:textId="1E52F070" w:rsidR="00406671" w:rsidRDefault="00406671" w:rsidP="00406671">
            <w:r>
              <w:t xml:space="preserve">Publication of “Financing </w:t>
            </w:r>
            <w:r w:rsidR="00B332C3">
              <w:t>e</w:t>
            </w:r>
            <w:r>
              <w:t xml:space="preserve">ducation: Opportunities for </w:t>
            </w:r>
            <w:r w:rsidR="00B332C3">
              <w:t>g</w:t>
            </w:r>
            <w:r>
              <w:t xml:space="preserve">lobal </w:t>
            </w:r>
            <w:r w:rsidR="00B332C3">
              <w:t>a</w:t>
            </w:r>
            <w:r>
              <w:t>ction”</w:t>
            </w:r>
          </w:p>
          <w:p w14:paraId="0F147C9C" w14:textId="77777777" w:rsidR="00406671" w:rsidRDefault="00406671" w:rsidP="00406671"/>
          <w:p w14:paraId="72489B3C" w14:textId="568DF4D5" w:rsidR="00406671" w:rsidRDefault="00406671" w:rsidP="00406671">
            <w:r w:rsidRPr="00D53DD2">
              <w:rPr>
                <w:highlight w:val="yellow"/>
              </w:rPr>
              <w:t xml:space="preserve">Image: </w:t>
            </w:r>
            <w:hyperlink r:id="rId27" w:history="1">
              <w:r w:rsidRPr="00D53DD2">
                <w:rPr>
                  <w:rStyle w:val="Hyperlink"/>
                  <w:highlight w:val="yellow"/>
                </w:rPr>
                <w:t>Cover of report</w:t>
              </w:r>
            </w:hyperlink>
            <w:r w:rsidRPr="00D53DD2">
              <w:rPr>
                <w:highlight w:val="yellow"/>
              </w:rPr>
              <w:t xml:space="preserve"> or </w:t>
            </w:r>
            <w:commentRangeStart w:id="4"/>
            <w:proofErr w:type="spellStart"/>
            <w:r w:rsidRPr="00D53DD2">
              <w:rPr>
                <w:highlight w:val="yellow"/>
              </w:rPr>
              <w:t>Amel</w:t>
            </w:r>
            <w:proofErr w:type="spellEnd"/>
            <w:r w:rsidRPr="00D53DD2">
              <w:rPr>
                <w:highlight w:val="yellow"/>
              </w:rPr>
              <w:t xml:space="preserve"> video</w:t>
            </w:r>
            <w:r>
              <w:t xml:space="preserve"> </w:t>
            </w:r>
            <w:commentRangeEnd w:id="4"/>
            <w:r>
              <w:rPr>
                <w:rStyle w:val="CommentReference"/>
              </w:rPr>
              <w:commentReference w:id="4"/>
            </w:r>
            <w:r w:rsidRPr="00D53DD2">
              <w:rPr>
                <w:highlight w:val="yellow"/>
              </w:rPr>
              <w:t>recording</w:t>
            </w:r>
            <w:r>
              <w:t xml:space="preserve"> </w:t>
            </w:r>
          </w:p>
        </w:tc>
        <w:tc>
          <w:tcPr>
            <w:tcW w:w="1666" w:type="dxa"/>
          </w:tcPr>
          <w:p w14:paraId="66784042" w14:textId="1EF675F5" w:rsidR="00406671" w:rsidRDefault="00406671" w:rsidP="00406671">
            <w:r>
              <w:t>Shape the global agenda</w:t>
            </w:r>
          </w:p>
        </w:tc>
        <w:tc>
          <w:tcPr>
            <w:tcW w:w="1889" w:type="dxa"/>
          </w:tcPr>
          <w:p w14:paraId="0747E406" w14:textId="7D064C3C" w:rsidR="00406671" w:rsidRDefault="00406671" w:rsidP="00406671">
            <w:r>
              <w:t xml:space="preserve">CUE called for a comprehensive plan to finance a global education agenda that put “access plus learning” at the center. The report recommendations led to the </w:t>
            </w:r>
            <w:r>
              <w:lastRenderedPageBreak/>
              <w:t xml:space="preserve">formation of the </w:t>
            </w:r>
            <w:hyperlink r:id="rId28" w:history="1">
              <w:r w:rsidRPr="00D53DD2">
                <w:rPr>
                  <w:rStyle w:val="Hyperlink"/>
                </w:rPr>
                <w:t>Education Commission</w:t>
              </w:r>
            </w:hyperlink>
            <w:r>
              <w:t xml:space="preserve"> to galvanize senior global leaders to invest in education and the development of the </w:t>
            </w:r>
            <w:hyperlink r:id="rId29" w:history="1">
              <w:r w:rsidRPr="0002030C">
                <w:rPr>
                  <w:rStyle w:val="Hyperlink"/>
                </w:rPr>
                <w:t>Education Outcomes Fund</w:t>
              </w:r>
            </w:hyperlink>
            <w:r>
              <w:t xml:space="preserve">, which leverages innovative financing mechanisms to support education in Africa and the Middle East.  </w:t>
            </w:r>
          </w:p>
        </w:tc>
      </w:tr>
      <w:tr w:rsidR="00406671" w14:paraId="55B2811C" w14:textId="77777777" w:rsidTr="00406671">
        <w:tc>
          <w:tcPr>
            <w:tcW w:w="717" w:type="dxa"/>
            <w:gridSpan w:val="2"/>
          </w:tcPr>
          <w:p w14:paraId="6F289596" w14:textId="446831A1" w:rsidR="00406671" w:rsidRDefault="00406671" w:rsidP="00406671">
            <w:r>
              <w:lastRenderedPageBreak/>
              <w:t>2016</w:t>
            </w:r>
          </w:p>
        </w:tc>
        <w:tc>
          <w:tcPr>
            <w:tcW w:w="5078" w:type="dxa"/>
          </w:tcPr>
          <w:p w14:paraId="437885EB" w14:textId="25B26B57" w:rsidR="00406671" w:rsidRDefault="00406671" w:rsidP="00406671">
            <w:r>
              <w:t xml:space="preserve">Publication of “Millions Learning: Scaling </w:t>
            </w:r>
            <w:r w:rsidR="00B332C3">
              <w:t>u</w:t>
            </w:r>
            <w:r>
              <w:t xml:space="preserve">p </w:t>
            </w:r>
            <w:r w:rsidR="00B332C3">
              <w:t>q</w:t>
            </w:r>
            <w:r>
              <w:t xml:space="preserve">uality </w:t>
            </w:r>
            <w:r w:rsidR="00B332C3">
              <w:t>e</w:t>
            </w:r>
            <w:r>
              <w:t xml:space="preserve">ducation in </w:t>
            </w:r>
            <w:r w:rsidR="00B332C3">
              <w:t>d</w:t>
            </w:r>
            <w:r>
              <w:t xml:space="preserve">eveloping </w:t>
            </w:r>
            <w:r w:rsidR="00B332C3">
              <w:t>c</w:t>
            </w:r>
            <w:r>
              <w:t>ountries”</w:t>
            </w:r>
          </w:p>
          <w:p w14:paraId="4E2474CE" w14:textId="77777777" w:rsidR="00406671" w:rsidRDefault="00406671" w:rsidP="00406671"/>
          <w:p w14:paraId="02FF9F72" w14:textId="75A7A203" w:rsidR="00406671" w:rsidRDefault="00406671" w:rsidP="00406671">
            <w:r w:rsidRPr="00D53DD2">
              <w:rPr>
                <w:highlight w:val="yellow"/>
              </w:rPr>
              <w:t xml:space="preserve">Image: </w:t>
            </w:r>
            <w:hyperlink r:id="rId30" w:history="1">
              <w:r w:rsidRPr="00D53DD2">
                <w:rPr>
                  <w:rStyle w:val="Hyperlink"/>
                  <w:highlight w:val="yellow"/>
                </w:rPr>
                <w:t>Report cover image</w:t>
              </w:r>
            </w:hyperlink>
            <w:r w:rsidRPr="00D53DD2">
              <w:rPr>
                <w:highlight w:val="yellow"/>
              </w:rPr>
              <w:t>.</w:t>
            </w:r>
            <w:r>
              <w:t xml:space="preserve"> </w:t>
            </w:r>
          </w:p>
        </w:tc>
        <w:tc>
          <w:tcPr>
            <w:tcW w:w="1666" w:type="dxa"/>
          </w:tcPr>
          <w:p w14:paraId="6223E028" w14:textId="3DF793BC" w:rsidR="00406671" w:rsidRDefault="00406671" w:rsidP="00406671">
            <w:r>
              <w:t>Shape the global agenda;</w:t>
            </w:r>
          </w:p>
          <w:p w14:paraId="0940BB69" w14:textId="5DEB79CC" w:rsidR="00406671" w:rsidRDefault="00406671" w:rsidP="00406671">
            <w:r>
              <w:t>Advance policy and practice; Catalyze education</w:t>
            </w:r>
          </w:p>
          <w:p w14:paraId="239486F2" w14:textId="2DAC7388" w:rsidR="00406671" w:rsidRDefault="00406671" w:rsidP="00406671">
            <w:r>
              <w:t>systems transformation</w:t>
            </w:r>
          </w:p>
        </w:tc>
        <w:tc>
          <w:tcPr>
            <w:tcW w:w="1889" w:type="dxa"/>
          </w:tcPr>
          <w:p w14:paraId="1409C40A" w14:textId="6EC71647" w:rsidR="00406671" w:rsidRDefault="00406671" w:rsidP="00406671">
            <w:pPr>
              <w:rPr>
                <w:color w:val="000000" w:themeColor="text1"/>
                <w:sz w:val="22"/>
                <w:szCs w:val="22"/>
              </w:rPr>
            </w:pPr>
            <w:r w:rsidRPr="340362EE">
              <w:rPr>
                <w:sz w:val="22"/>
                <w:szCs w:val="22"/>
              </w:rPr>
              <w:t xml:space="preserve">The Millions Learning project </w:t>
            </w:r>
            <w:r>
              <w:rPr>
                <w:sz w:val="22"/>
                <w:szCs w:val="22"/>
              </w:rPr>
              <w:t xml:space="preserve">at CUE </w:t>
            </w:r>
            <w:r w:rsidRPr="340362EE">
              <w:rPr>
                <w:sz w:val="22"/>
                <w:szCs w:val="22"/>
              </w:rPr>
              <w:t xml:space="preserve">examines </w:t>
            </w:r>
            <w:r w:rsidRPr="3DA97BE6">
              <w:rPr>
                <w:color w:val="000000" w:themeColor="text1"/>
                <w:sz w:val="22"/>
                <w:szCs w:val="22"/>
              </w:rPr>
              <w:t xml:space="preserve">the question of how to scale up quality education for all children and youth. </w:t>
            </w:r>
            <w:r w:rsidRPr="01429F13">
              <w:rPr>
                <w:color w:val="000000" w:themeColor="text1"/>
                <w:sz w:val="22"/>
                <w:szCs w:val="22"/>
              </w:rPr>
              <w:t xml:space="preserve">Launched in 2016, the </w:t>
            </w:r>
            <w:hyperlink r:id="rId31" w:history="1">
              <w:r w:rsidRPr="00242036">
                <w:rPr>
                  <w:rStyle w:val="Hyperlink"/>
                  <w:sz w:val="22"/>
                  <w:szCs w:val="22"/>
                </w:rPr>
                <w:t>“</w:t>
              </w:r>
              <w:r w:rsidRPr="00D53DD2">
                <w:rPr>
                  <w:rStyle w:val="Hyperlink"/>
                  <w:sz w:val="22"/>
                  <w:szCs w:val="22"/>
                </w:rPr>
                <w:t>Millions Learning</w:t>
              </w:r>
              <w:r w:rsidRPr="00242036">
                <w:rPr>
                  <w:rStyle w:val="Hyperlink"/>
                  <w:sz w:val="22"/>
                  <w:szCs w:val="22"/>
                </w:rPr>
                <w:t>”</w:t>
              </w:r>
              <w:r w:rsidRPr="00242036">
                <w:rPr>
                  <w:rStyle w:val="Hyperlink"/>
                  <w:i/>
                  <w:iCs/>
                  <w:sz w:val="22"/>
                  <w:szCs w:val="22"/>
                </w:rPr>
                <w:t xml:space="preserve"> </w:t>
              </w:r>
              <w:r w:rsidRPr="00242036">
                <w:rPr>
                  <w:rStyle w:val="Hyperlink"/>
                  <w:sz w:val="22"/>
                  <w:szCs w:val="22"/>
                </w:rPr>
                <w:t>report</w:t>
              </w:r>
            </w:hyperlink>
            <w:r w:rsidRPr="01429F13">
              <w:rPr>
                <w:color w:val="000000" w:themeColor="text1"/>
                <w:sz w:val="22"/>
                <w:szCs w:val="22"/>
              </w:rPr>
              <w:t xml:space="preserve"> </w:t>
            </w:r>
            <w:r w:rsidRPr="5DB5460A">
              <w:rPr>
                <w:color w:val="000000" w:themeColor="text1"/>
                <w:sz w:val="22"/>
                <w:szCs w:val="22"/>
              </w:rPr>
              <w:t>drew</w:t>
            </w:r>
            <w:r w:rsidRPr="0F069E94">
              <w:rPr>
                <w:rFonts w:eastAsia="Calibri"/>
                <w:color w:val="000000" w:themeColor="text1"/>
                <w:sz w:val="22"/>
                <w:szCs w:val="22"/>
              </w:rPr>
              <w:t xml:space="preserve"> upon literature and case studies from around the world to identify 14 core ingredients that contribute to scaling effective practices </w:t>
            </w:r>
            <w:r>
              <w:rPr>
                <w:rFonts w:eastAsia="Calibri"/>
                <w:color w:val="000000" w:themeColor="text1"/>
                <w:sz w:val="22"/>
                <w:szCs w:val="22"/>
              </w:rPr>
              <w:t>for</w:t>
            </w:r>
            <w:r w:rsidRPr="0F069E94">
              <w:rPr>
                <w:rFonts w:eastAsia="Calibri"/>
                <w:color w:val="000000" w:themeColor="text1"/>
                <w:sz w:val="22"/>
                <w:szCs w:val="22"/>
              </w:rPr>
              <w:t xml:space="preserve"> improv</w:t>
            </w:r>
            <w:r>
              <w:rPr>
                <w:rFonts w:eastAsia="Calibri"/>
                <w:color w:val="000000" w:themeColor="text1"/>
                <w:sz w:val="22"/>
                <w:szCs w:val="22"/>
              </w:rPr>
              <w:t>ing</w:t>
            </w:r>
            <w:r w:rsidRPr="0F069E94">
              <w:rPr>
                <w:rFonts w:eastAsia="Calibri"/>
                <w:color w:val="000000" w:themeColor="text1"/>
                <w:sz w:val="22"/>
                <w:szCs w:val="22"/>
              </w:rPr>
              <w:t xml:space="preserve"> learning.</w:t>
            </w:r>
            <w:r w:rsidRPr="5DB5460A">
              <w:rPr>
                <w:color w:val="000000" w:themeColor="text1"/>
                <w:sz w:val="22"/>
                <w:szCs w:val="22"/>
              </w:rPr>
              <w:t xml:space="preserve"> </w:t>
            </w:r>
            <w:r w:rsidRPr="0F069E94">
              <w:rPr>
                <w:color w:val="000000" w:themeColor="text1"/>
                <w:sz w:val="22"/>
                <w:szCs w:val="22"/>
              </w:rPr>
              <w:t>In addition to putting scaling impact in education on the global agenda, the</w:t>
            </w:r>
            <w:r w:rsidRPr="7061234B">
              <w:rPr>
                <w:color w:val="000000" w:themeColor="text1"/>
                <w:sz w:val="22"/>
                <w:szCs w:val="22"/>
              </w:rPr>
              <w:t xml:space="preserve"> report has helped inform strategies, approaches, and frameworks for</w:t>
            </w:r>
            <w:r>
              <w:rPr>
                <w:color w:val="000000" w:themeColor="text1"/>
                <w:sz w:val="22"/>
                <w:szCs w:val="22"/>
              </w:rPr>
              <w:t xml:space="preserve"> </w:t>
            </w:r>
            <w:r w:rsidRPr="7061234B">
              <w:rPr>
                <w:color w:val="000000" w:themeColor="text1"/>
                <w:sz w:val="22"/>
                <w:szCs w:val="22"/>
              </w:rPr>
              <w:t xml:space="preserve">multilateral </w:t>
            </w:r>
            <w:r w:rsidRPr="7061234B">
              <w:rPr>
                <w:color w:val="000000" w:themeColor="text1"/>
                <w:sz w:val="22"/>
                <w:szCs w:val="22"/>
              </w:rPr>
              <w:lastRenderedPageBreak/>
              <w:t xml:space="preserve">institutions (including UNESCO, the World Bank’s Global Delivery Initiative, and the World Innovation Summit on Education); nonprofits; foundations; academia; and think tanks around the world.  </w:t>
            </w:r>
          </w:p>
        </w:tc>
      </w:tr>
      <w:tr w:rsidR="00406671" w14:paraId="5B629C97" w14:textId="77777777" w:rsidTr="00406671">
        <w:tc>
          <w:tcPr>
            <w:tcW w:w="717" w:type="dxa"/>
            <w:gridSpan w:val="2"/>
          </w:tcPr>
          <w:p w14:paraId="402F5CF0" w14:textId="3AD8D526" w:rsidR="00406671" w:rsidRDefault="00406671" w:rsidP="00406671">
            <w:r>
              <w:lastRenderedPageBreak/>
              <w:t>2018</w:t>
            </w:r>
          </w:p>
        </w:tc>
        <w:tc>
          <w:tcPr>
            <w:tcW w:w="5078" w:type="dxa"/>
          </w:tcPr>
          <w:p w14:paraId="49A04C6C" w14:textId="7004DB56" w:rsidR="00406671" w:rsidRDefault="00406671" w:rsidP="00406671">
            <w:r>
              <w:t xml:space="preserve">Publication of “Leapfrogging </w:t>
            </w:r>
            <w:r w:rsidR="00B332C3">
              <w:t>i</w:t>
            </w:r>
            <w:r>
              <w:t>nequality”</w:t>
            </w:r>
          </w:p>
          <w:p w14:paraId="1FDB10B7" w14:textId="77777777" w:rsidR="00406671" w:rsidRDefault="00406671" w:rsidP="00406671"/>
          <w:p w14:paraId="740D47E3" w14:textId="5AAB8B9A" w:rsidR="00406671" w:rsidRDefault="00406671" w:rsidP="00406671">
            <w:r w:rsidRPr="00D53DD2">
              <w:rPr>
                <w:highlight w:val="yellow"/>
              </w:rPr>
              <w:t xml:space="preserve">Image: </w:t>
            </w:r>
            <w:commentRangeStart w:id="5"/>
            <w:r w:rsidRPr="00D53DD2">
              <w:rPr>
                <w:highlight w:val="yellow"/>
              </w:rPr>
              <w:t>Vishal video</w:t>
            </w:r>
            <w:r>
              <w:t xml:space="preserve"> </w:t>
            </w:r>
            <w:commentRangeEnd w:id="5"/>
            <w:r>
              <w:rPr>
                <w:rStyle w:val="CommentReference"/>
              </w:rPr>
              <w:commentReference w:id="5"/>
            </w:r>
          </w:p>
        </w:tc>
        <w:tc>
          <w:tcPr>
            <w:tcW w:w="1666" w:type="dxa"/>
          </w:tcPr>
          <w:p w14:paraId="114CA07C" w14:textId="23FF5F74" w:rsidR="00406671" w:rsidRDefault="00406671" w:rsidP="00406671">
            <w:r>
              <w:t xml:space="preserve">Shape the global agenda; Advance policy and practice; Catalyze education </w:t>
            </w:r>
          </w:p>
          <w:p w14:paraId="1B8142E3" w14:textId="16FD982B" w:rsidR="00406671" w:rsidRDefault="00406671" w:rsidP="00406671">
            <w:r>
              <w:t>system transformation</w:t>
            </w:r>
          </w:p>
        </w:tc>
        <w:tc>
          <w:tcPr>
            <w:tcW w:w="1889" w:type="dxa"/>
          </w:tcPr>
          <w:p w14:paraId="3C8BD477" w14:textId="38887ED1" w:rsidR="00406671" w:rsidRDefault="00406671" w:rsidP="00406671">
            <w:r>
              <w:t xml:space="preserve">The book “Leapfrogging </w:t>
            </w:r>
            <w:r w:rsidR="00B332C3">
              <w:t>i</w:t>
            </w:r>
            <w:r>
              <w:t xml:space="preserve">nequality” called for a mindset shift in how education systems tackle the twin problems of equity and relevance. The “leapfrog framework” has been used by a range of actors from government to civil society organizations to rethink how their education systems are organized. For example, the Ghanian minister of education has credited leapfrogging to accelerating the rollout of universal secondary education. </w:t>
            </w:r>
          </w:p>
        </w:tc>
      </w:tr>
      <w:tr w:rsidR="00406671" w14:paraId="1BDE9F3E" w14:textId="77777777" w:rsidTr="00406671">
        <w:tc>
          <w:tcPr>
            <w:tcW w:w="717" w:type="dxa"/>
            <w:gridSpan w:val="2"/>
          </w:tcPr>
          <w:p w14:paraId="39BDC35B" w14:textId="1DA3CF33" w:rsidR="00406671" w:rsidRDefault="00406671" w:rsidP="00406671">
            <w:r>
              <w:lastRenderedPageBreak/>
              <w:t>2018</w:t>
            </w:r>
          </w:p>
        </w:tc>
        <w:tc>
          <w:tcPr>
            <w:tcW w:w="5078" w:type="dxa"/>
          </w:tcPr>
          <w:p w14:paraId="1DE2BDEA" w14:textId="07031681" w:rsidR="00406671" w:rsidRDefault="00406671" w:rsidP="00406671">
            <w:r>
              <w:t>Launch of Playful Learning Landscapes</w:t>
            </w:r>
          </w:p>
          <w:p w14:paraId="75B8D655" w14:textId="77777777" w:rsidR="00406671" w:rsidRDefault="00406671" w:rsidP="00406671"/>
          <w:p w14:paraId="3FFC4237" w14:textId="68333D37" w:rsidR="00406671" w:rsidRDefault="00406671" w:rsidP="00406671">
            <w:r w:rsidRPr="00D53DD2">
              <w:rPr>
                <w:highlight w:val="yellow"/>
              </w:rPr>
              <w:t xml:space="preserve">Image: Embed PLL launch video: </w:t>
            </w:r>
            <w:hyperlink r:id="rId32" w:history="1">
              <w:r w:rsidRPr="00D53DD2">
                <w:rPr>
                  <w:rStyle w:val="Hyperlink"/>
                  <w:highlight w:val="yellow"/>
                </w:rPr>
                <w:t>https://www.youtube.com/watch?v=cF3dmn72gUE</w:t>
              </w:r>
            </w:hyperlink>
            <w:r>
              <w:t xml:space="preserve">  </w:t>
            </w:r>
          </w:p>
        </w:tc>
        <w:tc>
          <w:tcPr>
            <w:tcW w:w="1666" w:type="dxa"/>
          </w:tcPr>
          <w:p w14:paraId="46CA110D" w14:textId="03227D41" w:rsidR="00406671" w:rsidRDefault="00406671" w:rsidP="00406671">
            <w:r>
              <w:t xml:space="preserve">Advance policy and practice; Support </w:t>
            </w:r>
          </w:p>
          <w:p w14:paraId="456F2B69" w14:textId="5D2BE64D" w:rsidR="00406671" w:rsidRDefault="00406671" w:rsidP="00406671">
            <w:r>
              <w:t>local</w:t>
            </w:r>
            <w:r>
              <w:t xml:space="preserve"> leaders</w:t>
            </w:r>
            <w:r>
              <w:t>, Catalyze educations</w:t>
            </w:r>
          </w:p>
          <w:p w14:paraId="4B850EBF" w14:textId="3E44471D" w:rsidR="00406671" w:rsidRDefault="00406671" w:rsidP="00406671">
            <w:r>
              <w:t>systems transformation</w:t>
            </w:r>
          </w:p>
        </w:tc>
        <w:tc>
          <w:tcPr>
            <w:tcW w:w="1889" w:type="dxa"/>
          </w:tcPr>
          <w:p w14:paraId="09E7102B" w14:textId="5AFD69DC" w:rsidR="00406671" w:rsidRPr="004E3FD3" w:rsidRDefault="00406671" w:rsidP="00406671">
            <w:r>
              <w:t xml:space="preserve">Playful Learning Landscapes (PLL) increases educational equity by marrying the science of learning with urban design and placemaking in everyday spaces where families regularly spend time, such as bus stops, parks, and supermarkets. Together with Brookings Center for Transformative Placemaking, CUE works with a network of </w:t>
            </w:r>
            <w:commentRangeStart w:id="6"/>
            <w:r>
              <w:t xml:space="preserve">four cities </w:t>
            </w:r>
            <w:commentRangeEnd w:id="6"/>
            <w:r>
              <w:rPr>
                <w:rStyle w:val="CommentReference"/>
              </w:rPr>
              <w:commentReference w:id="6"/>
            </w:r>
            <w:r>
              <w:t xml:space="preserve">in and outside the U.S. that are taking up PLL approaches in their neighborhoods and city planning offices. </w:t>
            </w:r>
          </w:p>
          <w:p w14:paraId="4A939C43" w14:textId="61CF00D2" w:rsidR="00406671" w:rsidRDefault="00406671" w:rsidP="00406671"/>
        </w:tc>
      </w:tr>
      <w:tr w:rsidR="00406671" w14:paraId="3DB3D7F2" w14:textId="77777777" w:rsidTr="00406671">
        <w:tc>
          <w:tcPr>
            <w:tcW w:w="717" w:type="dxa"/>
            <w:gridSpan w:val="2"/>
          </w:tcPr>
          <w:p w14:paraId="1198AECC" w14:textId="62022681" w:rsidR="00406671" w:rsidRDefault="00406671" w:rsidP="00406671">
            <w:r>
              <w:t>2018</w:t>
            </w:r>
          </w:p>
        </w:tc>
        <w:tc>
          <w:tcPr>
            <w:tcW w:w="5078" w:type="dxa"/>
          </w:tcPr>
          <w:p w14:paraId="24FF0BBE" w14:textId="46D31363" w:rsidR="00406671" w:rsidRDefault="00406671" w:rsidP="00406671">
            <w:r>
              <w:t xml:space="preserve">Launch of the Real-time Scaling Labs </w:t>
            </w:r>
          </w:p>
          <w:p w14:paraId="29DA5928" w14:textId="77777777" w:rsidR="00406671" w:rsidRDefault="00406671" w:rsidP="00406671"/>
          <w:p w14:paraId="29767691" w14:textId="37B65FD7" w:rsidR="00406671" w:rsidRDefault="00406671" w:rsidP="00406671">
            <w:r w:rsidRPr="00D53DD2">
              <w:rPr>
                <w:highlight w:val="yellow"/>
              </w:rPr>
              <w:t xml:space="preserve">Image: </w:t>
            </w:r>
            <w:commentRangeStart w:id="7"/>
            <w:proofErr w:type="spellStart"/>
            <w:r w:rsidRPr="00D53DD2">
              <w:rPr>
                <w:highlight w:val="yellow"/>
              </w:rPr>
              <w:t>Faustin</w:t>
            </w:r>
            <w:proofErr w:type="spellEnd"/>
            <w:r w:rsidRPr="00D53DD2">
              <w:rPr>
                <w:highlight w:val="yellow"/>
              </w:rPr>
              <w:t xml:space="preserve"> video</w:t>
            </w:r>
            <w:r>
              <w:t xml:space="preserve"> </w:t>
            </w:r>
            <w:commentRangeEnd w:id="7"/>
            <w:r>
              <w:rPr>
                <w:rStyle w:val="CommentReference"/>
              </w:rPr>
              <w:commentReference w:id="7"/>
            </w:r>
          </w:p>
        </w:tc>
        <w:tc>
          <w:tcPr>
            <w:tcW w:w="1666" w:type="dxa"/>
          </w:tcPr>
          <w:p w14:paraId="15D4C1F8" w14:textId="2A9B8E1D" w:rsidR="00406671" w:rsidRDefault="00406671" w:rsidP="00406671">
            <w:r>
              <w:t>Support local leaders; Advance</w:t>
            </w:r>
          </w:p>
          <w:p w14:paraId="47F6ECA9" w14:textId="2CA7BD83" w:rsidR="00406671" w:rsidRDefault="00406671" w:rsidP="00406671">
            <w:r>
              <w:t>policy</w:t>
            </w:r>
            <w:r>
              <w:t xml:space="preserve"> and practice</w:t>
            </w:r>
            <w:r>
              <w:t>; Catalyze education</w:t>
            </w:r>
          </w:p>
          <w:p w14:paraId="40AF63D4" w14:textId="2E3DC61B" w:rsidR="00406671" w:rsidRDefault="00406671" w:rsidP="00406671">
            <w:r>
              <w:t xml:space="preserve">systems transformation; </w:t>
            </w:r>
          </w:p>
        </w:tc>
        <w:tc>
          <w:tcPr>
            <w:tcW w:w="1889" w:type="dxa"/>
          </w:tcPr>
          <w:p w14:paraId="23959CFA" w14:textId="0E3BC275" w:rsidR="00406671" w:rsidRDefault="00406671" w:rsidP="00406671">
            <w:pPr>
              <w:rPr>
                <w:rFonts w:ascii="Calibri" w:eastAsia="Calibri" w:hAnsi="Calibri" w:cs="Calibri"/>
                <w:color w:val="000000" w:themeColor="text1"/>
                <w:sz w:val="22"/>
                <w:szCs w:val="22"/>
              </w:rPr>
            </w:pPr>
            <w:r w:rsidRPr="1E30ECF1">
              <w:rPr>
                <w:rFonts w:ascii="Calibri" w:eastAsia="Calibri" w:hAnsi="Calibri" w:cs="Calibri"/>
                <w:color w:val="000000" w:themeColor="text1"/>
                <w:sz w:val="22"/>
                <w:szCs w:val="22"/>
              </w:rPr>
              <w:t xml:space="preserve">In </w:t>
            </w:r>
            <w:r w:rsidRPr="42ECD311">
              <w:rPr>
                <w:rFonts w:ascii="Calibri" w:eastAsia="Calibri" w:hAnsi="Calibri" w:cs="Calibri"/>
                <w:color w:val="000000" w:themeColor="text1"/>
                <w:sz w:val="22"/>
                <w:szCs w:val="22"/>
              </w:rPr>
              <w:t>2018</w:t>
            </w:r>
            <w:r w:rsidRPr="1E30ECF1">
              <w:rPr>
                <w:rFonts w:ascii="Calibri" w:eastAsia="Calibri" w:hAnsi="Calibri" w:cs="Calibri"/>
                <w:color w:val="000000" w:themeColor="text1"/>
                <w:sz w:val="22"/>
                <w:szCs w:val="22"/>
              </w:rPr>
              <w:t xml:space="preserve">, CUE launched </w:t>
            </w:r>
            <w:r w:rsidRPr="086CBD6E">
              <w:rPr>
                <w:rFonts w:ascii="Calibri" w:eastAsia="Calibri" w:hAnsi="Calibri" w:cs="Calibri"/>
                <w:color w:val="000000" w:themeColor="text1"/>
                <w:sz w:val="22"/>
                <w:szCs w:val="22"/>
              </w:rPr>
              <w:t>the</w:t>
            </w:r>
            <w:r w:rsidRPr="1E30ECF1">
              <w:rPr>
                <w:rFonts w:ascii="Calibri" w:eastAsia="Calibri" w:hAnsi="Calibri" w:cs="Calibri"/>
                <w:color w:val="000000" w:themeColor="text1"/>
                <w:sz w:val="22"/>
                <w:szCs w:val="22"/>
              </w:rPr>
              <w:t xml:space="preserve"> Real-time Scaling Labs</w:t>
            </w:r>
            <w:r>
              <w:rPr>
                <w:rFonts w:ascii="Calibri" w:eastAsia="Calibri" w:hAnsi="Calibri" w:cs="Calibri"/>
                <w:color w:val="000000" w:themeColor="text1"/>
                <w:sz w:val="22"/>
                <w:szCs w:val="22"/>
              </w:rPr>
              <w:t xml:space="preserve"> (RTSLs)</w:t>
            </w:r>
            <w:r>
              <w:rPr>
                <w:rFonts w:ascii="Roboto" w:hAnsi="Roboto"/>
                <w:color w:val="4D5156"/>
                <w:sz w:val="21"/>
                <w:szCs w:val="21"/>
                <w:shd w:val="clear" w:color="auto" w:fill="FFFFFF"/>
              </w:rPr>
              <w:t>—</w:t>
            </w:r>
            <w:r w:rsidRPr="1E30ECF1">
              <w:rPr>
                <w:rFonts w:ascii="Calibri" w:eastAsia="Calibri" w:hAnsi="Calibri" w:cs="Calibri"/>
                <w:color w:val="000000" w:themeColor="text1"/>
                <w:sz w:val="22"/>
                <w:szCs w:val="22"/>
              </w:rPr>
              <w:t xml:space="preserve">an action research project in partnership with local institutions </w:t>
            </w:r>
            <w:r w:rsidRPr="422452CB">
              <w:rPr>
                <w:rFonts w:ascii="Calibri" w:eastAsia="Calibri" w:hAnsi="Calibri" w:cs="Calibri"/>
                <w:color w:val="000000" w:themeColor="text1"/>
                <w:sz w:val="22"/>
                <w:szCs w:val="22"/>
              </w:rPr>
              <w:t xml:space="preserve">in </w:t>
            </w:r>
            <w:r>
              <w:rPr>
                <w:rFonts w:ascii="Calibri" w:eastAsia="Calibri" w:hAnsi="Calibri" w:cs="Calibri"/>
                <w:color w:val="000000" w:themeColor="text1"/>
                <w:sz w:val="22"/>
                <w:szCs w:val="22"/>
              </w:rPr>
              <w:t>five</w:t>
            </w:r>
            <w:r w:rsidRPr="422452CB">
              <w:rPr>
                <w:rFonts w:ascii="Calibri" w:eastAsia="Calibri" w:hAnsi="Calibri" w:cs="Calibri"/>
                <w:color w:val="000000" w:themeColor="text1"/>
                <w:sz w:val="22"/>
                <w:szCs w:val="22"/>
              </w:rPr>
              <w:t xml:space="preserve"> countries</w:t>
            </w:r>
            <w:r>
              <w:rPr>
                <w:rFonts w:ascii="Roboto" w:hAnsi="Roboto"/>
                <w:color w:val="4D5156"/>
                <w:sz w:val="21"/>
                <w:szCs w:val="21"/>
                <w:shd w:val="clear" w:color="auto" w:fill="FFFFFF"/>
              </w:rPr>
              <w:t>—</w:t>
            </w:r>
            <w:r w:rsidRPr="1E30ECF1">
              <w:rPr>
                <w:rFonts w:ascii="Calibri" w:eastAsia="Calibri" w:hAnsi="Calibri" w:cs="Calibri"/>
                <w:color w:val="000000" w:themeColor="text1"/>
                <w:sz w:val="22"/>
                <w:szCs w:val="22"/>
              </w:rPr>
              <w:t xml:space="preserve">to support, learn from, and document the scaling process of specific </w:t>
            </w:r>
            <w:r>
              <w:rPr>
                <w:rFonts w:ascii="Calibri" w:eastAsia="Calibri" w:hAnsi="Calibri" w:cs="Calibri"/>
                <w:color w:val="000000" w:themeColor="text1"/>
                <w:sz w:val="22"/>
                <w:szCs w:val="22"/>
              </w:rPr>
              <w:t xml:space="preserve">education </w:t>
            </w:r>
            <w:r w:rsidRPr="1E30ECF1">
              <w:rPr>
                <w:rFonts w:ascii="Calibri" w:eastAsia="Calibri" w:hAnsi="Calibri" w:cs="Calibri"/>
                <w:color w:val="000000" w:themeColor="text1"/>
                <w:sz w:val="22"/>
                <w:szCs w:val="22"/>
              </w:rPr>
              <w:t>initiatives</w:t>
            </w:r>
            <w:r w:rsidRPr="21912A7F">
              <w:rPr>
                <w:rFonts w:ascii="Calibri" w:eastAsia="Calibri" w:hAnsi="Calibri" w:cs="Calibri"/>
                <w:color w:val="000000" w:themeColor="text1"/>
                <w:sz w:val="22"/>
                <w:szCs w:val="22"/>
              </w:rPr>
              <w:t>.</w:t>
            </w:r>
            <w:r w:rsidRPr="422452CB">
              <w:rPr>
                <w:rFonts w:ascii="Calibri" w:eastAsia="Calibri" w:hAnsi="Calibri" w:cs="Calibri"/>
                <w:color w:val="000000" w:themeColor="text1"/>
                <w:sz w:val="22"/>
                <w:szCs w:val="22"/>
              </w:rPr>
              <w:t xml:space="preserve"> </w:t>
            </w:r>
            <w:r w:rsidRPr="2370C2DF">
              <w:rPr>
                <w:rFonts w:ascii="Calibri" w:eastAsia="Calibri" w:hAnsi="Calibri" w:cs="Calibri"/>
                <w:color w:val="000000" w:themeColor="text1"/>
                <w:sz w:val="22"/>
                <w:szCs w:val="22"/>
              </w:rPr>
              <w:t xml:space="preserve">In </w:t>
            </w:r>
            <w:r w:rsidRPr="2370C2DF">
              <w:rPr>
                <w:rFonts w:ascii="Calibri" w:eastAsia="Calibri" w:hAnsi="Calibri" w:cs="Calibri"/>
                <w:color w:val="000000" w:themeColor="text1"/>
                <w:sz w:val="22"/>
                <w:szCs w:val="22"/>
              </w:rPr>
              <w:lastRenderedPageBreak/>
              <w:t xml:space="preserve">addition to </w:t>
            </w:r>
            <w:r w:rsidRPr="21912A7F">
              <w:rPr>
                <w:rFonts w:ascii="Calibri" w:eastAsia="Calibri" w:hAnsi="Calibri" w:cs="Calibri"/>
                <w:color w:val="000000" w:themeColor="text1"/>
                <w:sz w:val="22"/>
                <w:szCs w:val="22"/>
              </w:rPr>
              <w:t>strengthening</w:t>
            </w:r>
            <w:r w:rsidRPr="2370C2DF">
              <w:rPr>
                <w:rFonts w:ascii="Calibri" w:eastAsia="Calibri" w:hAnsi="Calibri" w:cs="Calibri"/>
                <w:color w:val="000000" w:themeColor="text1"/>
                <w:sz w:val="22"/>
                <w:szCs w:val="22"/>
              </w:rPr>
              <w:t xml:space="preserve"> scaling </w:t>
            </w:r>
            <w:r w:rsidRPr="21912A7F">
              <w:rPr>
                <w:rFonts w:ascii="Calibri" w:eastAsia="Calibri" w:hAnsi="Calibri" w:cs="Calibri"/>
                <w:color w:val="000000" w:themeColor="text1"/>
                <w:sz w:val="22"/>
                <w:szCs w:val="22"/>
              </w:rPr>
              <w:t>efforts and</w:t>
            </w:r>
            <w:r w:rsidRPr="2370C2DF">
              <w:rPr>
                <w:rFonts w:ascii="Calibri" w:eastAsia="Calibri" w:hAnsi="Calibri" w:cs="Calibri"/>
                <w:color w:val="000000" w:themeColor="text1"/>
                <w:sz w:val="22"/>
                <w:szCs w:val="22"/>
              </w:rPr>
              <w:t xml:space="preserve"> </w:t>
            </w:r>
            <w:r w:rsidRPr="5E237042">
              <w:rPr>
                <w:rFonts w:ascii="Calibri" w:eastAsia="Calibri" w:hAnsi="Calibri" w:cs="Calibri"/>
                <w:color w:val="000000" w:themeColor="text1"/>
                <w:sz w:val="22"/>
                <w:szCs w:val="22"/>
              </w:rPr>
              <w:t>supporting mindset shifts among key stakeholders</w:t>
            </w:r>
            <w:r w:rsidRPr="116AEF3B">
              <w:rPr>
                <w:rFonts w:ascii="Calibri" w:eastAsia="Calibri" w:hAnsi="Calibri" w:cs="Calibri"/>
                <w:color w:val="000000" w:themeColor="text1"/>
                <w:sz w:val="22"/>
                <w:szCs w:val="22"/>
              </w:rPr>
              <w:t xml:space="preserve"> in each </w:t>
            </w:r>
            <w:r w:rsidRPr="2AC3AFDC">
              <w:rPr>
                <w:rFonts w:ascii="Calibri" w:eastAsia="Calibri" w:hAnsi="Calibri" w:cs="Calibri"/>
                <w:color w:val="000000" w:themeColor="text1"/>
                <w:sz w:val="22"/>
                <w:szCs w:val="22"/>
              </w:rPr>
              <w:t>location</w:t>
            </w:r>
            <w:r w:rsidRPr="5E237042">
              <w:rPr>
                <w:rFonts w:ascii="Calibri" w:eastAsia="Calibri" w:hAnsi="Calibri" w:cs="Calibri"/>
                <w:color w:val="000000" w:themeColor="text1"/>
                <w:sz w:val="22"/>
                <w:szCs w:val="22"/>
              </w:rPr>
              <w:t xml:space="preserve">, </w:t>
            </w:r>
            <w:r w:rsidRPr="21912A7F">
              <w:rPr>
                <w:rFonts w:ascii="Calibri" w:eastAsia="Calibri" w:hAnsi="Calibri" w:cs="Calibri"/>
                <w:color w:val="000000" w:themeColor="text1"/>
                <w:sz w:val="22"/>
                <w:szCs w:val="22"/>
              </w:rPr>
              <w:t xml:space="preserve">the RTSLs </w:t>
            </w:r>
            <w:r w:rsidRPr="2AC3AFDC">
              <w:rPr>
                <w:rFonts w:ascii="Calibri" w:eastAsia="Calibri" w:hAnsi="Calibri" w:cs="Calibri"/>
                <w:color w:val="000000" w:themeColor="text1"/>
                <w:sz w:val="22"/>
                <w:szCs w:val="22"/>
              </w:rPr>
              <w:t xml:space="preserve">led to the publication of </w:t>
            </w:r>
            <w:hyperlink r:id="rId33" w:history="1">
              <w:r w:rsidRPr="00CD348E">
                <w:rPr>
                  <w:rStyle w:val="Hyperlink"/>
                  <w:rFonts w:ascii="Calibri" w:eastAsia="Calibri" w:hAnsi="Calibri" w:cs="Calibri"/>
                  <w:sz w:val="22"/>
                  <w:szCs w:val="22"/>
                </w:rPr>
                <w:t>five scaling tools</w:t>
              </w:r>
            </w:hyperlink>
            <w:r w:rsidRPr="2AC3AFDC">
              <w:rPr>
                <w:rFonts w:ascii="Calibri" w:eastAsia="Calibri" w:hAnsi="Calibri" w:cs="Calibri"/>
                <w:color w:val="000000" w:themeColor="text1"/>
                <w:sz w:val="22"/>
                <w:szCs w:val="22"/>
              </w:rPr>
              <w:t>.</w:t>
            </w:r>
            <w:r w:rsidRPr="467FA85F">
              <w:rPr>
                <w:rFonts w:ascii="Calibri" w:eastAsia="Calibri" w:hAnsi="Calibri" w:cs="Calibri"/>
                <w:color w:val="000000" w:themeColor="text1"/>
                <w:sz w:val="22"/>
                <w:szCs w:val="22"/>
              </w:rPr>
              <w:t xml:space="preserve"> </w:t>
            </w:r>
            <w:r w:rsidRPr="17DA30BF">
              <w:rPr>
                <w:rFonts w:ascii="Calibri" w:eastAsia="Calibri" w:hAnsi="Calibri" w:cs="Calibri"/>
                <w:color w:val="000000" w:themeColor="text1"/>
                <w:sz w:val="22"/>
                <w:szCs w:val="22"/>
              </w:rPr>
              <w:t xml:space="preserve">In Tanzania and </w:t>
            </w:r>
            <w:r w:rsidRPr="2D016788">
              <w:rPr>
                <w:rFonts w:ascii="Calibri" w:eastAsia="Calibri" w:hAnsi="Calibri" w:cs="Calibri"/>
                <w:color w:val="000000" w:themeColor="text1"/>
                <w:sz w:val="22"/>
                <w:szCs w:val="22"/>
              </w:rPr>
              <w:t>Côte</w:t>
            </w:r>
            <w:r w:rsidRPr="17DA30BF">
              <w:rPr>
                <w:rFonts w:ascii="Calibri" w:eastAsia="Calibri" w:hAnsi="Calibri" w:cs="Calibri"/>
                <w:color w:val="000000" w:themeColor="text1"/>
                <w:sz w:val="22"/>
                <w:szCs w:val="22"/>
              </w:rPr>
              <w:t xml:space="preserve"> d’Ivoire, initial labs have become further embedded into</w:t>
            </w:r>
            <w:r w:rsidRPr="1006725A">
              <w:rPr>
                <w:rFonts w:ascii="Calibri" w:eastAsia="Calibri" w:hAnsi="Calibri" w:cs="Calibri"/>
                <w:color w:val="000000" w:themeColor="text1"/>
                <w:sz w:val="22"/>
                <w:szCs w:val="22"/>
              </w:rPr>
              <w:t xml:space="preserve"> the </w:t>
            </w:r>
            <w:r w:rsidRPr="17DA30BF">
              <w:rPr>
                <w:rFonts w:ascii="Calibri" w:eastAsia="Calibri" w:hAnsi="Calibri" w:cs="Calibri"/>
                <w:color w:val="000000" w:themeColor="text1"/>
                <w:sz w:val="22"/>
                <w:szCs w:val="22"/>
              </w:rPr>
              <w:t>countries’ existing education systems</w:t>
            </w:r>
            <w:r>
              <w:rPr>
                <w:rFonts w:ascii="Calibri" w:eastAsia="Calibri" w:hAnsi="Calibri" w:cs="Calibri"/>
                <w:color w:val="000000" w:themeColor="text1"/>
                <w:sz w:val="22"/>
                <w:szCs w:val="22"/>
              </w:rPr>
              <w:t>.</w:t>
            </w:r>
            <w:r w:rsidRPr="17DA30BF">
              <w:rPr>
                <w:rFonts w:ascii="Calibri" w:eastAsia="Calibri" w:hAnsi="Calibri" w:cs="Calibri"/>
                <w:color w:val="000000" w:themeColor="text1"/>
                <w:sz w:val="22"/>
                <w:szCs w:val="22"/>
              </w:rPr>
              <w:t xml:space="preserve"> Based on the work of the RTSLs, </w:t>
            </w:r>
            <w:r>
              <w:rPr>
                <w:rFonts w:ascii="Calibri" w:eastAsia="Calibri" w:hAnsi="Calibri" w:cs="Calibri"/>
                <w:color w:val="000000" w:themeColor="text1"/>
                <w:sz w:val="22"/>
                <w:szCs w:val="22"/>
              </w:rPr>
              <w:t xml:space="preserve">CUE’s </w:t>
            </w:r>
            <w:r w:rsidRPr="17DA30BF">
              <w:rPr>
                <w:rFonts w:ascii="Calibri" w:eastAsia="Calibri" w:hAnsi="Calibri" w:cs="Calibri"/>
                <w:color w:val="000000" w:themeColor="text1"/>
                <w:sz w:val="22"/>
                <w:szCs w:val="22"/>
              </w:rPr>
              <w:t xml:space="preserve">Millions Learning </w:t>
            </w:r>
            <w:r>
              <w:rPr>
                <w:rFonts w:ascii="Calibri" w:eastAsia="Calibri" w:hAnsi="Calibri" w:cs="Calibri"/>
                <w:color w:val="000000" w:themeColor="text1"/>
                <w:sz w:val="22"/>
                <w:szCs w:val="22"/>
              </w:rPr>
              <w:t xml:space="preserve">project </w:t>
            </w:r>
            <w:r w:rsidRPr="17DA30BF">
              <w:rPr>
                <w:rFonts w:ascii="Calibri" w:eastAsia="Calibri" w:hAnsi="Calibri" w:cs="Calibri"/>
                <w:color w:val="000000" w:themeColor="text1"/>
                <w:sz w:val="22"/>
                <w:szCs w:val="22"/>
              </w:rPr>
              <w:t>was chosen to</w:t>
            </w:r>
            <w:r w:rsidRPr="422452CB">
              <w:rPr>
                <w:rFonts w:ascii="Calibri" w:eastAsia="Calibri" w:hAnsi="Calibri" w:cs="Calibri"/>
                <w:color w:val="000000" w:themeColor="text1"/>
                <w:sz w:val="22"/>
                <w:szCs w:val="22"/>
              </w:rPr>
              <w:t xml:space="preserve"> </w:t>
            </w:r>
            <w:r w:rsidRPr="42ECD311">
              <w:rPr>
                <w:rFonts w:ascii="Calibri" w:eastAsia="Calibri" w:hAnsi="Calibri" w:cs="Calibri"/>
                <w:color w:val="000000" w:themeColor="text1"/>
                <w:sz w:val="22"/>
                <w:szCs w:val="22"/>
              </w:rPr>
              <w:t>join</w:t>
            </w:r>
            <w:r w:rsidRPr="422452CB">
              <w:rPr>
                <w:rFonts w:ascii="Calibri" w:eastAsia="Calibri" w:hAnsi="Calibri" w:cs="Calibri"/>
                <w:color w:val="000000" w:themeColor="text1"/>
                <w:sz w:val="22"/>
                <w:szCs w:val="22"/>
              </w:rPr>
              <w:t xml:space="preserve"> </w:t>
            </w:r>
            <w:r>
              <w:rPr>
                <w:rFonts w:ascii="Calibri" w:eastAsia="Calibri" w:hAnsi="Calibri" w:cs="Calibri"/>
                <w:color w:val="000000" w:themeColor="text1"/>
                <w:sz w:val="22"/>
                <w:szCs w:val="22"/>
              </w:rPr>
              <w:t>the Global Partnership for Education’s Knowledge and Innovation Exchange program</w:t>
            </w:r>
            <w:r w:rsidRPr="422452CB">
              <w:rPr>
                <w:rFonts w:ascii="Calibri" w:eastAsia="Calibri" w:hAnsi="Calibri" w:cs="Calibri"/>
                <w:color w:val="000000" w:themeColor="text1"/>
                <w:sz w:val="22"/>
                <w:szCs w:val="22"/>
              </w:rPr>
              <w:t xml:space="preserve"> </w:t>
            </w:r>
            <w:r w:rsidRPr="2D016788">
              <w:rPr>
                <w:rFonts w:ascii="Calibri" w:eastAsia="Calibri" w:hAnsi="Calibri" w:cs="Calibri"/>
                <w:color w:val="000000" w:themeColor="text1"/>
                <w:sz w:val="22"/>
                <w:szCs w:val="22"/>
              </w:rPr>
              <w:t xml:space="preserve">in 2020 </w:t>
            </w:r>
            <w:r w:rsidRPr="422452CB">
              <w:rPr>
                <w:rFonts w:ascii="Calibri" w:eastAsia="Calibri" w:hAnsi="Calibri" w:cs="Calibri"/>
                <w:color w:val="000000" w:themeColor="text1"/>
                <w:sz w:val="22"/>
                <w:szCs w:val="22"/>
              </w:rPr>
              <w:t>to facilitate a cross-national, design-based research and professional support initiative called </w:t>
            </w:r>
            <w:hyperlink r:id="rId34">
              <w:r w:rsidRPr="422452CB">
                <w:rPr>
                  <w:rStyle w:val="Hyperlink"/>
                  <w:rFonts w:ascii="Calibri" w:eastAsia="Calibri" w:hAnsi="Calibri" w:cs="Calibri"/>
                  <w:sz w:val="22"/>
                  <w:szCs w:val="22"/>
                </w:rPr>
                <w:t>Research on Scaling the Impact of Innovations in Education</w:t>
              </w:r>
            </w:hyperlink>
            <w:r w:rsidRPr="42ECD311">
              <w:rPr>
                <w:rFonts w:ascii="Calibri" w:eastAsia="Calibri" w:hAnsi="Calibri" w:cs="Calibri"/>
                <w:color w:val="000000" w:themeColor="text1"/>
                <w:sz w:val="22"/>
                <w:szCs w:val="22"/>
              </w:rPr>
              <w:t>.</w:t>
            </w:r>
          </w:p>
        </w:tc>
      </w:tr>
      <w:tr w:rsidR="00406671" w14:paraId="29414222" w14:textId="77777777" w:rsidTr="00406671">
        <w:tc>
          <w:tcPr>
            <w:tcW w:w="717" w:type="dxa"/>
            <w:gridSpan w:val="2"/>
          </w:tcPr>
          <w:p w14:paraId="7D542A67" w14:textId="12512D17" w:rsidR="00406671" w:rsidRPr="003663C7" w:rsidRDefault="00406671" w:rsidP="00406671">
            <w:pPr>
              <w:rPr>
                <w:lang w:val="es-ES"/>
              </w:rPr>
            </w:pPr>
            <w:r>
              <w:rPr>
                <w:lang w:val="es-ES"/>
              </w:rPr>
              <w:lastRenderedPageBreak/>
              <w:t>2021</w:t>
            </w:r>
          </w:p>
        </w:tc>
        <w:tc>
          <w:tcPr>
            <w:tcW w:w="5078" w:type="dxa"/>
          </w:tcPr>
          <w:p w14:paraId="4F20452A" w14:textId="7A93D5AC" w:rsidR="00406671" w:rsidRDefault="00406671" w:rsidP="00406671">
            <w:r>
              <w:t>Launch of the Family engagement in education Playbook</w:t>
            </w:r>
          </w:p>
          <w:p w14:paraId="37EC81B1" w14:textId="77777777" w:rsidR="00406671" w:rsidRDefault="00406671" w:rsidP="00406671"/>
          <w:p w14:paraId="20EBAA6E" w14:textId="1E168861" w:rsidR="00406671" w:rsidRDefault="00406671" w:rsidP="00406671">
            <w:commentRangeStart w:id="8"/>
            <w:r w:rsidRPr="00D53DD2">
              <w:rPr>
                <w:highlight w:val="yellow"/>
              </w:rPr>
              <w:t xml:space="preserve">Video: Carolina </w:t>
            </w:r>
            <w:commentRangeEnd w:id="8"/>
            <w:r>
              <w:rPr>
                <w:rStyle w:val="CommentReference"/>
              </w:rPr>
              <w:commentReference w:id="8"/>
            </w:r>
            <w:r w:rsidRPr="00D53DD2">
              <w:rPr>
                <w:highlight w:val="yellow"/>
              </w:rPr>
              <w:t>video</w:t>
            </w:r>
            <w:r>
              <w:t xml:space="preserve"> </w:t>
            </w:r>
          </w:p>
        </w:tc>
        <w:tc>
          <w:tcPr>
            <w:tcW w:w="1666" w:type="dxa"/>
          </w:tcPr>
          <w:p w14:paraId="7887AD05" w14:textId="147920DF" w:rsidR="00406671" w:rsidRDefault="00406671" w:rsidP="00406671">
            <w:r>
              <w:t xml:space="preserve">Advance policy and practice; Shape the </w:t>
            </w:r>
          </w:p>
          <w:p w14:paraId="0BF5FEED" w14:textId="37F12A75" w:rsidR="00406671" w:rsidRDefault="00406671" w:rsidP="00406671">
            <w:r>
              <w:t>global agenda; Catalyze education systems transformation</w:t>
            </w:r>
            <w:r>
              <w:lastRenderedPageBreak/>
              <w:t xml:space="preserve">; </w:t>
            </w:r>
            <w:r>
              <w:t>Incubate global education organizations and tools</w:t>
            </w:r>
          </w:p>
        </w:tc>
        <w:tc>
          <w:tcPr>
            <w:tcW w:w="1889" w:type="dxa"/>
          </w:tcPr>
          <w:p w14:paraId="77419014" w14:textId="28CA7971" w:rsidR="00406671" w:rsidRDefault="00406671" w:rsidP="00406671">
            <w:r>
              <w:lastRenderedPageBreak/>
              <w:t xml:space="preserve">Drawing from a network of over 50 government and civil society organizations across 10 countries, </w:t>
            </w:r>
            <w:hyperlink r:id="rId35" w:history="1">
              <w:r w:rsidRPr="009021A5">
                <w:rPr>
                  <w:rStyle w:val="Hyperlink"/>
                </w:rPr>
                <w:t>CUE’s playbook</w:t>
              </w:r>
            </w:hyperlink>
            <w:r>
              <w:t xml:space="preserve"> provides detailed </w:t>
            </w:r>
            <w:r>
              <w:lastRenderedPageBreak/>
              <w:t xml:space="preserve">guidance on how to harness family-school collaboration to transform learning outcomes for students and education systems. The tools in the playbook are being used by government and civil society partners from Colombia to the United States to India. </w:t>
            </w:r>
          </w:p>
        </w:tc>
      </w:tr>
      <w:tr w:rsidR="00406671" w14:paraId="5BEA7035" w14:textId="77777777" w:rsidTr="00406671">
        <w:tc>
          <w:tcPr>
            <w:tcW w:w="717" w:type="dxa"/>
            <w:gridSpan w:val="2"/>
          </w:tcPr>
          <w:p w14:paraId="1F7BB84C" w14:textId="02493938" w:rsidR="00406671" w:rsidRDefault="00406671" w:rsidP="00406671">
            <w:r>
              <w:lastRenderedPageBreak/>
              <w:t>2021</w:t>
            </w:r>
          </w:p>
        </w:tc>
        <w:tc>
          <w:tcPr>
            <w:tcW w:w="5078" w:type="dxa"/>
          </w:tcPr>
          <w:p w14:paraId="21B28745" w14:textId="25C7D407" w:rsidR="00406671" w:rsidRDefault="00406671" w:rsidP="00406671">
            <w:r>
              <w:t>Publication</w:t>
            </w:r>
            <w:r>
              <w:t xml:space="preserve"> of </w:t>
            </w:r>
            <w:r>
              <w:t xml:space="preserve">“Addressing education inequality with Next Generation of Community Schools” report </w:t>
            </w:r>
          </w:p>
          <w:p w14:paraId="5A09E4B6" w14:textId="77777777" w:rsidR="00406671" w:rsidRDefault="00406671" w:rsidP="00406671"/>
          <w:p w14:paraId="685A0436" w14:textId="52B0ACBA" w:rsidR="00406671" w:rsidRDefault="00406671" w:rsidP="00406671">
            <w:r w:rsidRPr="00D53DD2">
              <w:rPr>
                <w:highlight w:val="yellow"/>
              </w:rPr>
              <w:t xml:space="preserve">Image: </w:t>
            </w:r>
            <w:hyperlink r:id="rId36" w:history="1">
              <w:r w:rsidRPr="00D53DD2">
                <w:rPr>
                  <w:rStyle w:val="Hyperlink"/>
                  <w:highlight w:val="yellow"/>
                </w:rPr>
                <w:t>first task</w:t>
              </w:r>
              <w:r w:rsidRPr="00D53DD2">
                <w:rPr>
                  <w:rStyle w:val="Hyperlink"/>
                  <w:highlight w:val="yellow"/>
                </w:rPr>
                <w:t xml:space="preserve"> </w:t>
              </w:r>
              <w:r w:rsidRPr="00D53DD2">
                <w:rPr>
                  <w:rStyle w:val="Hyperlink"/>
                  <w:highlight w:val="yellow"/>
                </w:rPr>
                <w:t>force report</w:t>
              </w:r>
            </w:hyperlink>
            <w:r>
              <w:t xml:space="preserve"> </w:t>
            </w:r>
          </w:p>
        </w:tc>
        <w:tc>
          <w:tcPr>
            <w:tcW w:w="1666" w:type="dxa"/>
          </w:tcPr>
          <w:p w14:paraId="5B956086" w14:textId="7E1DDB52" w:rsidR="00406671" w:rsidRDefault="00406671" w:rsidP="00406671">
            <w:r>
              <w:t xml:space="preserve">Advance policy and practice; Catalyze education </w:t>
            </w:r>
          </w:p>
          <w:p w14:paraId="60608C31" w14:textId="5A73CAE7" w:rsidR="00406671" w:rsidRDefault="00406671" w:rsidP="00406671">
            <w:r>
              <w:t xml:space="preserve">systems transformation </w:t>
            </w:r>
          </w:p>
        </w:tc>
        <w:tc>
          <w:tcPr>
            <w:tcW w:w="1889" w:type="dxa"/>
          </w:tcPr>
          <w:p w14:paraId="72EF2850" w14:textId="41CC8EBB" w:rsidR="00406671" w:rsidRDefault="00406671" w:rsidP="00406671">
            <w:r>
              <w:t xml:space="preserve">Together with over 30 leading education organizations, CUE set out a </w:t>
            </w:r>
            <w:hyperlink r:id="rId37" w:history="1">
              <w:r w:rsidRPr="006B7B62">
                <w:rPr>
                  <w:rStyle w:val="Hyperlink"/>
                </w:rPr>
                <w:t>vision for addressing the impacts of the COVID-19 pandemic</w:t>
              </w:r>
            </w:hyperlink>
            <w:r>
              <w:t xml:space="preserve"> by transforming U.S. schools into community schools that partner not only with families but a wide range of community actors to support student’s well-being alongside their academic needs. The task force recommendations have been taken up by the </w:t>
            </w:r>
            <w:r>
              <w:lastRenderedPageBreak/>
              <w:t xml:space="preserve">U.S. Department of Education, which has doubled funding for the community schools strategy along with major U.S. philanthropic actors. </w:t>
            </w:r>
          </w:p>
        </w:tc>
      </w:tr>
      <w:tr w:rsidR="00406671" w14:paraId="6A40F253" w14:textId="77777777" w:rsidTr="00406671">
        <w:tc>
          <w:tcPr>
            <w:tcW w:w="717" w:type="dxa"/>
            <w:gridSpan w:val="2"/>
          </w:tcPr>
          <w:p w14:paraId="23A259C0" w14:textId="6E1B14DC" w:rsidR="00406671" w:rsidRDefault="00406671" w:rsidP="00406671">
            <w:r>
              <w:lastRenderedPageBreak/>
              <w:t>2022</w:t>
            </w:r>
          </w:p>
        </w:tc>
        <w:tc>
          <w:tcPr>
            <w:tcW w:w="5078" w:type="dxa"/>
          </w:tcPr>
          <w:p w14:paraId="1440A77B" w14:textId="0DF91EDB" w:rsidR="00406671" w:rsidRDefault="00406671" w:rsidP="00406671">
            <w:r>
              <w:t>Publication of “Transforming education systems: What, why, and how”</w:t>
            </w:r>
          </w:p>
          <w:p w14:paraId="51AFD638" w14:textId="77777777" w:rsidR="00406671" w:rsidRDefault="00406671" w:rsidP="00406671"/>
          <w:p w14:paraId="2659CE14" w14:textId="34FAA00C" w:rsidR="00406671" w:rsidRDefault="00406671" w:rsidP="00406671">
            <w:r w:rsidRPr="00D53DD2">
              <w:rPr>
                <w:highlight w:val="yellow"/>
              </w:rPr>
              <w:t xml:space="preserve">Image: Report cover: </w:t>
            </w:r>
            <w:hyperlink r:id="rId38" w:history="1">
              <w:r w:rsidRPr="00D53DD2">
                <w:rPr>
                  <w:rStyle w:val="Hyperlink"/>
                  <w:highlight w:val="yellow"/>
                </w:rPr>
                <w:t>https://www.brookings.edu/research/transforming-education-systems-why-what-and-how/</w:t>
              </w:r>
            </w:hyperlink>
            <w:r>
              <w:t xml:space="preserve"> </w:t>
            </w:r>
          </w:p>
        </w:tc>
        <w:tc>
          <w:tcPr>
            <w:tcW w:w="1666" w:type="dxa"/>
          </w:tcPr>
          <w:p w14:paraId="5E439900" w14:textId="1794B685" w:rsidR="00406671" w:rsidRDefault="00406671" w:rsidP="00406671">
            <w:r>
              <w:t>Catalyze education systems transformation; Shape the global agenda</w:t>
            </w:r>
          </w:p>
        </w:tc>
        <w:tc>
          <w:tcPr>
            <w:tcW w:w="1889" w:type="dxa"/>
          </w:tcPr>
          <w:p w14:paraId="625176A1" w14:textId="182C512C" w:rsidR="00406671" w:rsidRDefault="00406671" w:rsidP="00406671">
            <w:r>
              <w:t xml:space="preserve">Together with Sierra Leone’s minister of education and co-chair of the UN Transforming Education Summit, CUE </w:t>
            </w:r>
            <w:hyperlink r:id="rId39" w:history="1">
              <w:r w:rsidRPr="00EC1354">
                <w:rPr>
                  <w:rStyle w:val="Hyperlink"/>
                </w:rPr>
                <w:t>set out a vision</w:t>
              </w:r>
            </w:hyperlink>
            <w:r>
              <w:t xml:space="preserve"> for the three high-leverage steps education leaders can use on their education transformation journey. To help advance the first step</w:t>
            </w:r>
            <w:r>
              <w:rPr>
                <w:color w:val="4D5156"/>
                <w:sz w:val="21"/>
                <w:szCs w:val="21"/>
                <w:shd w:val="clear" w:color="auto" w:fill="FFFFFF"/>
              </w:rPr>
              <w:t>⁠</w:t>
            </w:r>
            <w:r>
              <w:rPr>
                <w:rFonts w:ascii="Roboto" w:hAnsi="Roboto"/>
                <w:color w:val="4D5156"/>
                <w:sz w:val="21"/>
                <w:szCs w:val="21"/>
                <w:shd w:val="clear" w:color="auto" w:fill="FFFFFF"/>
              </w:rPr>
              <w:t>—</w:t>
            </w:r>
            <w:r>
              <w:t>developing a shared vision of the purpose of education</w:t>
            </w:r>
            <w:r>
              <w:rPr>
                <w:color w:val="4D5156"/>
                <w:sz w:val="21"/>
                <w:szCs w:val="21"/>
                <w:shd w:val="clear" w:color="auto" w:fill="FFFFFF"/>
              </w:rPr>
              <w:t>⁠</w:t>
            </w:r>
            <w:r>
              <w:rPr>
                <w:rFonts w:ascii="Roboto" w:hAnsi="Roboto"/>
                <w:color w:val="4D5156"/>
                <w:sz w:val="21"/>
                <w:szCs w:val="21"/>
                <w:shd w:val="clear" w:color="auto" w:fill="FFFFFF"/>
              </w:rPr>
              <w:t>—</w:t>
            </w:r>
            <w:r>
              <w:t xml:space="preserve"> the UN Secretary General’s office has asked that CUE’s </w:t>
            </w:r>
            <w:hyperlink r:id="rId40" w:history="1">
              <w:r w:rsidRPr="00FF7447">
                <w:rPr>
                  <w:rStyle w:val="Hyperlink"/>
                </w:rPr>
                <w:t>conversation starter tools</w:t>
              </w:r>
            </w:hyperlink>
            <w:r>
              <w:t xml:space="preserve">, which map the purpose of education, be scaled globally to help catalyze a movement </w:t>
            </w:r>
            <w:r>
              <w:lastRenderedPageBreak/>
              <w:t>around transformation.</w:t>
            </w:r>
          </w:p>
        </w:tc>
      </w:tr>
    </w:tbl>
    <w:p w14:paraId="2C36BF48" w14:textId="77777777" w:rsidR="00AE01CE" w:rsidRDefault="00AE01CE"/>
    <w:sectPr w:rsidR="00AE01CE" w:rsidSect="00762B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herine Portnoy" w:date="2022-08-09T19:47:00Z" w:initials="KP">
    <w:p w14:paraId="773E4309" w14:textId="2CA299DD" w:rsidR="00D53DD2" w:rsidRDefault="00D53DD2">
      <w:pPr>
        <w:pStyle w:val="CommentText"/>
      </w:pPr>
      <w:r>
        <w:rPr>
          <w:rStyle w:val="CommentReference"/>
        </w:rPr>
        <w:annotationRef/>
      </w:r>
      <w:r>
        <w:t>Bold words should be included in the interactive and the nonbold words can just show up in the tool</w:t>
      </w:r>
      <w:r w:rsidR="005A4155">
        <w:t xml:space="preserve">tip if people click on the full description </w:t>
      </w:r>
    </w:p>
  </w:comment>
  <w:comment w:id="1" w:author="Katherine Portnoy" w:date="2022-08-09T19:48:00Z" w:initials="KP">
    <w:p w14:paraId="74F58614" w14:textId="575B7533" w:rsidR="005A4155" w:rsidRDefault="005A4155">
      <w:pPr>
        <w:pStyle w:val="CommentText"/>
      </w:pPr>
      <w:r>
        <w:rPr>
          <w:rStyle w:val="CommentReference"/>
        </w:rPr>
        <w:annotationRef/>
      </w:r>
      <w:r>
        <w:t xml:space="preserve">Text to be located </w:t>
      </w:r>
      <w:r w:rsidR="008C502E">
        <w:t xml:space="preserve">beneath “our work” in the interactive </w:t>
      </w:r>
    </w:p>
  </w:comment>
  <w:comment w:id="3" w:author="Katherine Portnoy" w:date="2022-08-09T14:05:00Z" w:initials="KP">
    <w:p w14:paraId="371CE701" w14:textId="1EECB17D" w:rsidR="009C4C61" w:rsidRDefault="009C4C61">
      <w:pPr>
        <w:pStyle w:val="CommentText"/>
      </w:pPr>
      <w:r>
        <w:rPr>
          <w:rStyle w:val="CommentReference"/>
        </w:rPr>
        <w:annotationRef/>
      </w:r>
      <w:r>
        <w:t xml:space="preserve">This </w:t>
      </w:r>
      <w:r w:rsidR="00B34000">
        <w:t>will be sent later.</w:t>
      </w:r>
    </w:p>
  </w:comment>
  <w:comment w:id="4" w:author="Katherine Portnoy" w:date="2022-08-09T18:46:00Z" w:initials="KP">
    <w:p w14:paraId="6FC1B355" w14:textId="2981AC49" w:rsidR="00406671" w:rsidRDefault="00406671">
      <w:pPr>
        <w:pStyle w:val="CommentText"/>
      </w:pPr>
      <w:r>
        <w:rPr>
          <w:rStyle w:val="CommentReference"/>
        </w:rPr>
        <w:annotationRef/>
      </w:r>
      <w:r>
        <w:t xml:space="preserve">Still needs to be recorded </w:t>
      </w:r>
    </w:p>
  </w:comment>
  <w:comment w:id="5" w:author="Katherine Portnoy" w:date="2022-08-09T18:56:00Z" w:initials="KP">
    <w:p w14:paraId="722A02FF" w14:textId="75428415" w:rsidR="00406671" w:rsidRDefault="00406671">
      <w:pPr>
        <w:pStyle w:val="CommentText"/>
      </w:pPr>
      <w:r>
        <w:rPr>
          <w:rStyle w:val="CommentReference"/>
        </w:rPr>
        <w:annotationRef/>
      </w:r>
      <w:r>
        <w:t xml:space="preserve">Still needs to be recorded </w:t>
      </w:r>
    </w:p>
  </w:comment>
  <w:comment w:id="6" w:author="Katherine Portnoy" w:date="2022-08-09T19:18:00Z" w:initials="KP">
    <w:p w14:paraId="6401BE05" w14:textId="309EAB3A" w:rsidR="00406671" w:rsidRDefault="00406671">
      <w:pPr>
        <w:pStyle w:val="CommentText"/>
      </w:pPr>
      <w:r>
        <w:rPr>
          <w:rStyle w:val="CommentReference"/>
        </w:rPr>
        <w:annotationRef/>
      </w:r>
      <w:r>
        <w:t>Should this say 6?</w:t>
      </w:r>
    </w:p>
  </w:comment>
  <w:comment w:id="7" w:author="Katherine Portnoy" w:date="2022-08-09T19:12:00Z" w:initials="KP">
    <w:p w14:paraId="0262AD37" w14:textId="0DF54D75" w:rsidR="00406671" w:rsidRDefault="00406671">
      <w:pPr>
        <w:pStyle w:val="CommentText"/>
      </w:pPr>
      <w:r>
        <w:rPr>
          <w:rStyle w:val="CommentReference"/>
        </w:rPr>
        <w:annotationRef/>
      </w:r>
      <w:r>
        <w:t xml:space="preserve">Recorded but needs to be professionally edited </w:t>
      </w:r>
    </w:p>
  </w:comment>
  <w:comment w:id="8" w:author="Katherine Portnoy" w:date="2022-08-09T19:26:00Z" w:initials="KP">
    <w:p w14:paraId="4ED4CDA8" w14:textId="42DBF846" w:rsidR="00406671" w:rsidRDefault="00406671">
      <w:pPr>
        <w:pStyle w:val="CommentText"/>
      </w:pPr>
      <w:r>
        <w:rPr>
          <w:rStyle w:val="CommentReference"/>
        </w:rPr>
        <w:annotationRef/>
      </w:r>
      <w:r>
        <w:t xml:space="preserve">To be recorded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3E4309" w15:done="0"/>
  <w15:commentEx w15:paraId="74F58614" w15:done="0"/>
  <w15:commentEx w15:paraId="371CE701" w15:done="0"/>
  <w15:commentEx w15:paraId="6FC1B355" w15:done="0"/>
  <w15:commentEx w15:paraId="722A02FF" w15:done="0"/>
  <w15:commentEx w15:paraId="6401BE05" w15:done="0"/>
  <w15:commentEx w15:paraId="0262AD37" w15:done="0"/>
  <w15:commentEx w15:paraId="4ED4CD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D384A" w16cex:dateUtc="2022-08-09T23:47:00Z"/>
  <w16cex:commentExtensible w16cex:durableId="269D3871" w16cex:dateUtc="2022-08-09T23:48:00Z"/>
  <w16cex:commentExtensible w16cex:durableId="269CE83E" w16cex:dateUtc="2022-08-09T18:05:00Z"/>
  <w16cex:commentExtensible w16cex:durableId="269D29EF" w16cex:dateUtc="2022-08-09T22:46:00Z"/>
  <w16cex:commentExtensible w16cex:durableId="269D2C46" w16cex:dateUtc="2022-08-09T22:56:00Z"/>
  <w16cex:commentExtensible w16cex:durableId="269D3176" w16cex:dateUtc="2022-08-09T23:18:00Z"/>
  <w16cex:commentExtensible w16cex:durableId="269D3021" w16cex:dateUtc="2022-08-09T23:12:00Z"/>
  <w16cex:commentExtensible w16cex:durableId="269D3363" w16cex:dateUtc="2022-08-09T2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3E4309" w16cid:durableId="269D384A"/>
  <w16cid:commentId w16cid:paraId="74F58614" w16cid:durableId="269D3871"/>
  <w16cid:commentId w16cid:paraId="371CE701" w16cid:durableId="269CE83E"/>
  <w16cid:commentId w16cid:paraId="6FC1B355" w16cid:durableId="269D29EF"/>
  <w16cid:commentId w16cid:paraId="722A02FF" w16cid:durableId="269D2C46"/>
  <w16cid:commentId w16cid:paraId="6401BE05" w16cid:durableId="269D3176"/>
  <w16cid:commentId w16cid:paraId="0262AD37" w16cid:durableId="269D3021"/>
  <w16cid:commentId w16cid:paraId="4ED4CDA8" w16cid:durableId="269D33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T Serif">
    <w:panose1 w:val="020A0703040505090204"/>
    <w:charset w:val="00"/>
    <w:family w:val="roman"/>
    <w:pitch w:val="variable"/>
    <w:sig w:usb0="A00002EF" w:usb1="5000204B" w:usb2="00000000" w:usb3="00000000" w:csb0="000000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6AE"/>
    <w:multiLevelType w:val="hybridMultilevel"/>
    <w:tmpl w:val="827EA04C"/>
    <w:lvl w:ilvl="0" w:tplc="E996BFA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C6A61"/>
    <w:multiLevelType w:val="hybridMultilevel"/>
    <w:tmpl w:val="D676EFE6"/>
    <w:lvl w:ilvl="0" w:tplc="E996BFA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83841"/>
    <w:multiLevelType w:val="hybridMultilevel"/>
    <w:tmpl w:val="BB04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72E06"/>
    <w:multiLevelType w:val="hybridMultilevel"/>
    <w:tmpl w:val="C87E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256E5A"/>
    <w:multiLevelType w:val="hybridMultilevel"/>
    <w:tmpl w:val="6FCA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Portnoy">
    <w15:presenceInfo w15:providerId="AD" w15:userId="S::KPortnoy@brookings.edu::ea220deb-7c1a-4314-9364-5acf0fc14b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C3"/>
    <w:rsid w:val="000029CC"/>
    <w:rsid w:val="0000382A"/>
    <w:rsid w:val="00005099"/>
    <w:rsid w:val="00011A88"/>
    <w:rsid w:val="0001220B"/>
    <w:rsid w:val="00017F3E"/>
    <w:rsid w:val="0002030C"/>
    <w:rsid w:val="000221E6"/>
    <w:rsid w:val="000230A5"/>
    <w:rsid w:val="00023691"/>
    <w:rsid w:val="00023F18"/>
    <w:rsid w:val="000265AC"/>
    <w:rsid w:val="000273B5"/>
    <w:rsid w:val="0004004F"/>
    <w:rsid w:val="000453B9"/>
    <w:rsid w:val="00045C5A"/>
    <w:rsid w:val="0004668E"/>
    <w:rsid w:val="00050114"/>
    <w:rsid w:val="00050C84"/>
    <w:rsid w:val="00053D62"/>
    <w:rsid w:val="000601D5"/>
    <w:rsid w:val="0006352F"/>
    <w:rsid w:val="00067882"/>
    <w:rsid w:val="000730AA"/>
    <w:rsid w:val="00076E61"/>
    <w:rsid w:val="0008456F"/>
    <w:rsid w:val="00092171"/>
    <w:rsid w:val="00093458"/>
    <w:rsid w:val="00095CC7"/>
    <w:rsid w:val="000A1B48"/>
    <w:rsid w:val="000A3182"/>
    <w:rsid w:val="000A363B"/>
    <w:rsid w:val="000B0B5F"/>
    <w:rsid w:val="000B0C54"/>
    <w:rsid w:val="000B43EF"/>
    <w:rsid w:val="000B55DD"/>
    <w:rsid w:val="000B7DE6"/>
    <w:rsid w:val="000C4D7C"/>
    <w:rsid w:val="000C5489"/>
    <w:rsid w:val="000D1A86"/>
    <w:rsid w:val="000D370B"/>
    <w:rsid w:val="000D7959"/>
    <w:rsid w:val="000E1C9C"/>
    <w:rsid w:val="000E2C64"/>
    <w:rsid w:val="000E7BB0"/>
    <w:rsid w:val="000F376A"/>
    <w:rsid w:val="001006E0"/>
    <w:rsid w:val="00111EAD"/>
    <w:rsid w:val="00112B5F"/>
    <w:rsid w:val="00112CFA"/>
    <w:rsid w:val="001131F1"/>
    <w:rsid w:val="00113A0E"/>
    <w:rsid w:val="00120A08"/>
    <w:rsid w:val="001254EC"/>
    <w:rsid w:val="00136503"/>
    <w:rsid w:val="00136A00"/>
    <w:rsid w:val="00140BE4"/>
    <w:rsid w:val="00141F83"/>
    <w:rsid w:val="00144FC8"/>
    <w:rsid w:val="00147211"/>
    <w:rsid w:val="00147916"/>
    <w:rsid w:val="00155AF6"/>
    <w:rsid w:val="0016437B"/>
    <w:rsid w:val="00164B5B"/>
    <w:rsid w:val="0017463F"/>
    <w:rsid w:val="00175071"/>
    <w:rsid w:val="00176D5D"/>
    <w:rsid w:val="001773C8"/>
    <w:rsid w:val="00181084"/>
    <w:rsid w:val="00182A8A"/>
    <w:rsid w:val="00184042"/>
    <w:rsid w:val="001853BE"/>
    <w:rsid w:val="00191D7A"/>
    <w:rsid w:val="00194C8C"/>
    <w:rsid w:val="001954D6"/>
    <w:rsid w:val="00196508"/>
    <w:rsid w:val="0019704C"/>
    <w:rsid w:val="001A1847"/>
    <w:rsid w:val="001A1E2A"/>
    <w:rsid w:val="001A4192"/>
    <w:rsid w:val="001A4563"/>
    <w:rsid w:val="001B11C8"/>
    <w:rsid w:val="001B3F37"/>
    <w:rsid w:val="001B56DB"/>
    <w:rsid w:val="001B713F"/>
    <w:rsid w:val="001C2298"/>
    <w:rsid w:val="001C2C98"/>
    <w:rsid w:val="001C3E68"/>
    <w:rsid w:val="001C6CC9"/>
    <w:rsid w:val="001D5633"/>
    <w:rsid w:val="001D5AD6"/>
    <w:rsid w:val="001E0069"/>
    <w:rsid w:val="001E0723"/>
    <w:rsid w:val="001E5036"/>
    <w:rsid w:val="001E7DF4"/>
    <w:rsid w:val="001F10F8"/>
    <w:rsid w:val="001F2D1B"/>
    <w:rsid w:val="001F3014"/>
    <w:rsid w:val="001F4753"/>
    <w:rsid w:val="001F4F4A"/>
    <w:rsid w:val="00205118"/>
    <w:rsid w:val="002113CC"/>
    <w:rsid w:val="00211C14"/>
    <w:rsid w:val="002179E7"/>
    <w:rsid w:val="002209BA"/>
    <w:rsid w:val="0023516E"/>
    <w:rsid w:val="00242036"/>
    <w:rsid w:val="00255B38"/>
    <w:rsid w:val="00261A59"/>
    <w:rsid w:val="00262A99"/>
    <w:rsid w:val="00262FEB"/>
    <w:rsid w:val="00263905"/>
    <w:rsid w:val="00273DCB"/>
    <w:rsid w:val="00277D5C"/>
    <w:rsid w:val="00282963"/>
    <w:rsid w:val="00283A92"/>
    <w:rsid w:val="00284360"/>
    <w:rsid w:val="00284A3B"/>
    <w:rsid w:val="002869E1"/>
    <w:rsid w:val="00293065"/>
    <w:rsid w:val="002950A7"/>
    <w:rsid w:val="002974ED"/>
    <w:rsid w:val="002A1CD6"/>
    <w:rsid w:val="002B40E0"/>
    <w:rsid w:val="002B6AC2"/>
    <w:rsid w:val="002C5AA9"/>
    <w:rsid w:val="002D25E7"/>
    <w:rsid w:val="002D60D8"/>
    <w:rsid w:val="002E31C8"/>
    <w:rsid w:val="002E3EA3"/>
    <w:rsid w:val="002F5677"/>
    <w:rsid w:val="002F5682"/>
    <w:rsid w:val="002F6496"/>
    <w:rsid w:val="002F6BEF"/>
    <w:rsid w:val="0030279B"/>
    <w:rsid w:val="00302DDA"/>
    <w:rsid w:val="00303397"/>
    <w:rsid w:val="00307954"/>
    <w:rsid w:val="00314E4A"/>
    <w:rsid w:val="00314FE3"/>
    <w:rsid w:val="003160A6"/>
    <w:rsid w:val="0032586C"/>
    <w:rsid w:val="0032780D"/>
    <w:rsid w:val="00330A67"/>
    <w:rsid w:val="003317B2"/>
    <w:rsid w:val="00331ACA"/>
    <w:rsid w:val="00332DF1"/>
    <w:rsid w:val="0033300B"/>
    <w:rsid w:val="003333D8"/>
    <w:rsid w:val="003363D9"/>
    <w:rsid w:val="0034088C"/>
    <w:rsid w:val="00340DF2"/>
    <w:rsid w:val="00346A50"/>
    <w:rsid w:val="00355F76"/>
    <w:rsid w:val="00357AEF"/>
    <w:rsid w:val="00361186"/>
    <w:rsid w:val="003612E6"/>
    <w:rsid w:val="00361ABD"/>
    <w:rsid w:val="00364D35"/>
    <w:rsid w:val="00364DE9"/>
    <w:rsid w:val="003663C7"/>
    <w:rsid w:val="00370B8A"/>
    <w:rsid w:val="003824DE"/>
    <w:rsid w:val="00385AB4"/>
    <w:rsid w:val="00385E52"/>
    <w:rsid w:val="00390BA2"/>
    <w:rsid w:val="00392B16"/>
    <w:rsid w:val="00393690"/>
    <w:rsid w:val="003A45A0"/>
    <w:rsid w:val="003B35C3"/>
    <w:rsid w:val="003B7FF6"/>
    <w:rsid w:val="003C0BFC"/>
    <w:rsid w:val="003C478C"/>
    <w:rsid w:val="003C4CAF"/>
    <w:rsid w:val="003D4703"/>
    <w:rsid w:val="003D63E1"/>
    <w:rsid w:val="003D7CC9"/>
    <w:rsid w:val="003E297C"/>
    <w:rsid w:val="003E43BB"/>
    <w:rsid w:val="003E52BE"/>
    <w:rsid w:val="003E5345"/>
    <w:rsid w:val="003E567B"/>
    <w:rsid w:val="003E67F3"/>
    <w:rsid w:val="003E7B5E"/>
    <w:rsid w:val="003F1BA2"/>
    <w:rsid w:val="003F1E74"/>
    <w:rsid w:val="003F7EB8"/>
    <w:rsid w:val="00401AAD"/>
    <w:rsid w:val="00406671"/>
    <w:rsid w:val="00412C99"/>
    <w:rsid w:val="00414478"/>
    <w:rsid w:val="0042323B"/>
    <w:rsid w:val="00425D51"/>
    <w:rsid w:val="00433797"/>
    <w:rsid w:val="00434877"/>
    <w:rsid w:val="004404DB"/>
    <w:rsid w:val="00442E94"/>
    <w:rsid w:val="00445BBE"/>
    <w:rsid w:val="00456550"/>
    <w:rsid w:val="0046133F"/>
    <w:rsid w:val="00462C8F"/>
    <w:rsid w:val="00463536"/>
    <w:rsid w:val="00467B24"/>
    <w:rsid w:val="00470C96"/>
    <w:rsid w:val="00472F4C"/>
    <w:rsid w:val="00473BF2"/>
    <w:rsid w:val="004774B6"/>
    <w:rsid w:val="004815BA"/>
    <w:rsid w:val="00484442"/>
    <w:rsid w:val="00486578"/>
    <w:rsid w:val="00487C24"/>
    <w:rsid w:val="00491F65"/>
    <w:rsid w:val="0049594A"/>
    <w:rsid w:val="004966EC"/>
    <w:rsid w:val="004969C8"/>
    <w:rsid w:val="004A2FF5"/>
    <w:rsid w:val="004A403A"/>
    <w:rsid w:val="004A422D"/>
    <w:rsid w:val="004B5167"/>
    <w:rsid w:val="004B6C36"/>
    <w:rsid w:val="004B75A2"/>
    <w:rsid w:val="004C4C87"/>
    <w:rsid w:val="004D2A6A"/>
    <w:rsid w:val="004D3176"/>
    <w:rsid w:val="004E248E"/>
    <w:rsid w:val="004F6EC7"/>
    <w:rsid w:val="004F7EC1"/>
    <w:rsid w:val="005069A1"/>
    <w:rsid w:val="005101B0"/>
    <w:rsid w:val="005237CD"/>
    <w:rsid w:val="005241BE"/>
    <w:rsid w:val="005259C1"/>
    <w:rsid w:val="005264FF"/>
    <w:rsid w:val="00530929"/>
    <w:rsid w:val="00537B55"/>
    <w:rsid w:val="00543EFA"/>
    <w:rsid w:val="00544632"/>
    <w:rsid w:val="00546AAA"/>
    <w:rsid w:val="00556177"/>
    <w:rsid w:val="00561B65"/>
    <w:rsid w:val="005623A7"/>
    <w:rsid w:val="005644CB"/>
    <w:rsid w:val="005654F8"/>
    <w:rsid w:val="00570CF0"/>
    <w:rsid w:val="00583214"/>
    <w:rsid w:val="00590A38"/>
    <w:rsid w:val="005A4155"/>
    <w:rsid w:val="005A54FA"/>
    <w:rsid w:val="005B0EC9"/>
    <w:rsid w:val="005C0DCE"/>
    <w:rsid w:val="005C152D"/>
    <w:rsid w:val="005C41C2"/>
    <w:rsid w:val="005C5770"/>
    <w:rsid w:val="005C73AB"/>
    <w:rsid w:val="005C7433"/>
    <w:rsid w:val="005C790B"/>
    <w:rsid w:val="005C7F3A"/>
    <w:rsid w:val="005D0087"/>
    <w:rsid w:val="005D63BB"/>
    <w:rsid w:val="005D6FDA"/>
    <w:rsid w:val="005E1A48"/>
    <w:rsid w:val="005E22BB"/>
    <w:rsid w:val="005E28CA"/>
    <w:rsid w:val="005E5F7B"/>
    <w:rsid w:val="005F21E4"/>
    <w:rsid w:val="005F49B5"/>
    <w:rsid w:val="005F5BB4"/>
    <w:rsid w:val="005F61D6"/>
    <w:rsid w:val="006013D4"/>
    <w:rsid w:val="006026F5"/>
    <w:rsid w:val="006051CE"/>
    <w:rsid w:val="00612B21"/>
    <w:rsid w:val="00612BD2"/>
    <w:rsid w:val="00620A34"/>
    <w:rsid w:val="00623C91"/>
    <w:rsid w:val="00624373"/>
    <w:rsid w:val="00626A74"/>
    <w:rsid w:val="00627525"/>
    <w:rsid w:val="00627ABD"/>
    <w:rsid w:val="00632F49"/>
    <w:rsid w:val="006349AE"/>
    <w:rsid w:val="006355BB"/>
    <w:rsid w:val="00642F9E"/>
    <w:rsid w:val="006440D8"/>
    <w:rsid w:val="00645C33"/>
    <w:rsid w:val="00647B4A"/>
    <w:rsid w:val="00647F56"/>
    <w:rsid w:val="0065138A"/>
    <w:rsid w:val="006728CF"/>
    <w:rsid w:val="0067466B"/>
    <w:rsid w:val="00690F7A"/>
    <w:rsid w:val="00694720"/>
    <w:rsid w:val="00697FAD"/>
    <w:rsid w:val="006A13C3"/>
    <w:rsid w:val="006A5BC5"/>
    <w:rsid w:val="006A6D2A"/>
    <w:rsid w:val="006B0B5B"/>
    <w:rsid w:val="006B7B62"/>
    <w:rsid w:val="006C0646"/>
    <w:rsid w:val="006C18DB"/>
    <w:rsid w:val="006C3455"/>
    <w:rsid w:val="006C4ECA"/>
    <w:rsid w:val="006D22C6"/>
    <w:rsid w:val="006E31D7"/>
    <w:rsid w:val="006E3994"/>
    <w:rsid w:val="006E5A15"/>
    <w:rsid w:val="006E5F28"/>
    <w:rsid w:val="006E68E6"/>
    <w:rsid w:val="006F0468"/>
    <w:rsid w:val="006F6892"/>
    <w:rsid w:val="0070255C"/>
    <w:rsid w:val="007102C3"/>
    <w:rsid w:val="0071246F"/>
    <w:rsid w:val="00714D04"/>
    <w:rsid w:val="00720420"/>
    <w:rsid w:val="00723A04"/>
    <w:rsid w:val="00724985"/>
    <w:rsid w:val="0072554E"/>
    <w:rsid w:val="00725A78"/>
    <w:rsid w:val="00726F9F"/>
    <w:rsid w:val="00733DA4"/>
    <w:rsid w:val="00737178"/>
    <w:rsid w:val="0074199C"/>
    <w:rsid w:val="007439E8"/>
    <w:rsid w:val="007460B6"/>
    <w:rsid w:val="007506FF"/>
    <w:rsid w:val="00752BF5"/>
    <w:rsid w:val="0075538B"/>
    <w:rsid w:val="00762B78"/>
    <w:rsid w:val="007640E3"/>
    <w:rsid w:val="00772D48"/>
    <w:rsid w:val="00774A8D"/>
    <w:rsid w:val="0077790C"/>
    <w:rsid w:val="0078183D"/>
    <w:rsid w:val="00782321"/>
    <w:rsid w:val="00782ACC"/>
    <w:rsid w:val="00783C2E"/>
    <w:rsid w:val="00790660"/>
    <w:rsid w:val="00790D43"/>
    <w:rsid w:val="007939DE"/>
    <w:rsid w:val="00793C32"/>
    <w:rsid w:val="00794B54"/>
    <w:rsid w:val="00796D62"/>
    <w:rsid w:val="0079796F"/>
    <w:rsid w:val="00797DD4"/>
    <w:rsid w:val="007A1CC7"/>
    <w:rsid w:val="007A32DC"/>
    <w:rsid w:val="007A6BF6"/>
    <w:rsid w:val="007A73AD"/>
    <w:rsid w:val="007B0BDF"/>
    <w:rsid w:val="007B36C3"/>
    <w:rsid w:val="007B6E0A"/>
    <w:rsid w:val="007C0CDA"/>
    <w:rsid w:val="007C0D89"/>
    <w:rsid w:val="007C248B"/>
    <w:rsid w:val="007D17F6"/>
    <w:rsid w:val="007D6FE1"/>
    <w:rsid w:val="007E0C88"/>
    <w:rsid w:val="007E3EE1"/>
    <w:rsid w:val="007F3093"/>
    <w:rsid w:val="007F3278"/>
    <w:rsid w:val="007F3CE9"/>
    <w:rsid w:val="008045EA"/>
    <w:rsid w:val="00812558"/>
    <w:rsid w:val="00813453"/>
    <w:rsid w:val="008135F5"/>
    <w:rsid w:val="008139AB"/>
    <w:rsid w:val="008150F4"/>
    <w:rsid w:val="00823E25"/>
    <w:rsid w:val="00825392"/>
    <w:rsid w:val="00830060"/>
    <w:rsid w:val="00830FBA"/>
    <w:rsid w:val="00833BE5"/>
    <w:rsid w:val="008440B5"/>
    <w:rsid w:val="00844237"/>
    <w:rsid w:val="008450F1"/>
    <w:rsid w:val="00850008"/>
    <w:rsid w:val="008752DC"/>
    <w:rsid w:val="00876E71"/>
    <w:rsid w:val="00882861"/>
    <w:rsid w:val="0088501A"/>
    <w:rsid w:val="008912DC"/>
    <w:rsid w:val="008938DB"/>
    <w:rsid w:val="0089482C"/>
    <w:rsid w:val="0089705A"/>
    <w:rsid w:val="008A0058"/>
    <w:rsid w:val="008A3B8C"/>
    <w:rsid w:val="008A5E12"/>
    <w:rsid w:val="008A7C08"/>
    <w:rsid w:val="008B22B3"/>
    <w:rsid w:val="008B28C5"/>
    <w:rsid w:val="008B6508"/>
    <w:rsid w:val="008C14A0"/>
    <w:rsid w:val="008C2F51"/>
    <w:rsid w:val="008C502E"/>
    <w:rsid w:val="008C6FC3"/>
    <w:rsid w:val="008D3DAE"/>
    <w:rsid w:val="008E0137"/>
    <w:rsid w:val="008E0E4A"/>
    <w:rsid w:val="008E2000"/>
    <w:rsid w:val="008E25A2"/>
    <w:rsid w:val="008F3474"/>
    <w:rsid w:val="008F4D4B"/>
    <w:rsid w:val="009021A5"/>
    <w:rsid w:val="009056B8"/>
    <w:rsid w:val="00910DD7"/>
    <w:rsid w:val="0091141B"/>
    <w:rsid w:val="00912C77"/>
    <w:rsid w:val="00914457"/>
    <w:rsid w:val="00923B01"/>
    <w:rsid w:val="009357CB"/>
    <w:rsid w:val="00937DC7"/>
    <w:rsid w:val="00947045"/>
    <w:rsid w:val="00950DC8"/>
    <w:rsid w:val="009525E5"/>
    <w:rsid w:val="00952995"/>
    <w:rsid w:val="0095455B"/>
    <w:rsid w:val="009547E4"/>
    <w:rsid w:val="00960A02"/>
    <w:rsid w:val="00976E32"/>
    <w:rsid w:val="00976EFA"/>
    <w:rsid w:val="00981C3B"/>
    <w:rsid w:val="00985BC7"/>
    <w:rsid w:val="00991E2B"/>
    <w:rsid w:val="00992BC5"/>
    <w:rsid w:val="00995576"/>
    <w:rsid w:val="00995A7B"/>
    <w:rsid w:val="009A0497"/>
    <w:rsid w:val="009A20C5"/>
    <w:rsid w:val="009A2EBA"/>
    <w:rsid w:val="009B1057"/>
    <w:rsid w:val="009B3CA5"/>
    <w:rsid w:val="009B47FF"/>
    <w:rsid w:val="009C014C"/>
    <w:rsid w:val="009C4C61"/>
    <w:rsid w:val="009C7E00"/>
    <w:rsid w:val="009D0E6D"/>
    <w:rsid w:val="009D3D8E"/>
    <w:rsid w:val="009D7845"/>
    <w:rsid w:val="009E2D38"/>
    <w:rsid w:val="009E31AE"/>
    <w:rsid w:val="009F0D62"/>
    <w:rsid w:val="009F2EDC"/>
    <w:rsid w:val="00A024DB"/>
    <w:rsid w:val="00A061E6"/>
    <w:rsid w:val="00A066AA"/>
    <w:rsid w:val="00A1145E"/>
    <w:rsid w:val="00A11E7B"/>
    <w:rsid w:val="00A138B9"/>
    <w:rsid w:val="00A211E0"/>
    <w:rsid w:val="00A2210D"/>
    <w:rsid w:val="00A221FD"/>
    <w:rsid w:val="00A2291C"/>
    <w:rsid w:val="00A2732F"/>
    <w:rsid w:val="00A30E5A"/>
    <w:rsid w:val="00A41126"/>
    <w:rsid w:val="00A4278F"/>
    <w:rsid w:val="00A50225"/>
    <w:rsid w:val="00A504E7"/>
    <w:rsid w:val="00A55040"/>
    <w:rsid w:val="00A662EB"/>
    <w:rsid w:val="00A66A1C"/>
    <w:rsid w:val="00A71ADB"/>
    <w:rsid w:val="00A739CA"/>
    <w:rsid w:val="00A74F23"/>
    <w:rsid w:val="00A758C4"/>
    <w:rsid w:val="00A81BEA"/>
    <w:rsid w:val="00A82302"/>
    <w:rsid w:val="00A85228"/>
    <w:rsid w:val="00A86191"/>
    <w:rsid w:val="00A94491"/>
    <w:rsid w:val="00AA3180"/>
    <w:rsid w:val="00AA4833"/>
    <w:rsid w:val="00AA4F09"/>
    <w:rsid w:val="00AB0D12"/>
    <w:rsid w:val="00AB20B3"/>
    <w:rsid w:val="00AB680B"/>
    <w:rsid w:val="00AC02D2"/>
    <w:rsid w:val="00AC381D"/>
    <w:rsid w:val="00AD0714"/>
    <w:rsid w:val="00AD22F5"/>
    <w:rsid w:val="00AD2E29"/>
    <w:rsid w:val="00AD667D"/>
    <w:rsid w:val="00AD6B98"/>
    <w:rsid w:val="00AD756B"/>
    <w:rsid w:val="00AE01CE"/>
    <w:rsid w:val="00AE1E3A"/>
    <w:rsid w:val="00AE4605"/>
    <w:rsid w:val="00AE4CF1"/>
    <w:rsid w:val="00AF05AF"/>
    <w:rsid w:val="00AF120B"/>
    <w:rsid w:val="00B03070"/>
    <w:rsid w:val="00B04628"/>
    <w:rsid w:val="00B072AF"/>
    <w:rsid w:val="00B140E9"/>
    <w:rsid w:val="00B14801"/>
    <w:rsid w:val="00B16FC0"/>
    <w:rsid w:val="00B2272E"/>
    <w:rsid w:val="00B24C28"/>
    <w:rsid w:val="00B269D6"/>
    <w:rsid w:val="00B332C3"/>
    <w:rsid w:val="00B33863"/>
    <w:rsid w:val="00B34000"/>
    <w:rsid w:val="00B37689"/>
    <w:rsid w:val="00B40CBA"/>
    <w:rsid w:val="00B456EC"/>
    <w:rsid w:val="00B47079"/>
    <w:rsid w:val="00B52AF5"/>
    <w:rsid w:val="00B52D05"/>
    <w:rsid w:val="00B53120"/>
    <w:rsid w:val="00B60A39"/>
    <w:rsid w:val="00B62224"/>
    <w:rsid w:val="00B63402"/>
    <w:rsid w:val="00B634AB"/>
    <w:rsid w:val="00B6375F"/>
    <w:rsid w:val="00B65BB9"/>
    <w:rsid w:val="00B65C7E"/>
    <w:rsid w:val="00B671AC"/>
    <w:rsid w:val="00B73A2E"/>
    <w:rsid w:val="00B77E1D"/>
    <w:rsid w:val="00B80038"/>
    <w:rsid w:val="00B80694"/>
    <w:rsid w:val="00B8244E"/>
    <w:rsid w:val="00B86740"/>
    <w:rsid w:val="00B91B82"/>
    <w:rsid w:val="00B946E8"/>
    <w:rsid w:val="00B9646F"/>
    <w:rsid w:val="00BA3A34"/>
    <w:rsid w:val="00BA4033"/>
    <w:rsid w:val="00BB4F68"/>
    <w:rsid w:val="00BB7A1A"/>
    <w:rsid w:val="00BC193D"/>
    <w:rsid w:val="00BC50A3"/>
    <w:rsid w:val="00BC7681"/>
    <w:rsid w:val="00BD0110"/>
    <w:rsid w:val="00BD14BA"/>
    <w:rsid w:val="00BD6444"/>
    <w:rsid w:val="00BE0038"/>
    <w:rsid w:val="00BE14D0"/>
    <w:rsid w:val="00BE1667"/>
    <w:rsid w:val="00BE4720"/>
    <w:rsid w:val="00BE593C"/>
    <w:rsid w:val="00BE5E29"/>
    <w:rsid w:val="00BE656C"/>
    <w:rsid w:val="00BF34E7"/>
    <w:rsid w:val="00BF5E35"/>
    <w:rsid w:val="00C03BD8"/>
    <w:rsid w:val="00C20248"/>
    <w:rsid w:val="00C21A7A"/>
    <w:rsid w:val="00C25CE3"/>
    <w:rsid w:val="00C268ED"/>
    <w:rsid w:val="00C35DB3"/>
    <w:rsid w:val="00C42EA1"/>
    <w:rsid w:val="00C4517F"/>
    <w:rsid w:val="00C46852"/>
    <w:rsid w:val="00C535A3"/>
    <w:rsid w:val="00C600C2"/>
    <w:rsid w:val="00C74626"/>
    <w:rsid w:val="00C74BD0"/>
    <w:rsid w:val="00C760D4"/>
    <w:rsid w:val="00C8010C"/>
    <w:rsid w:val="00C8503B"/>
    <w:rsid w:val="00C85B08"/>
    <w:rsid w:val="00C85C7F"/>
    <w:rsid w:val="00C87C6C"/>
    <w:rsid w:val="00C9072F"/>
    <w:rsid w:val="00C92D94"/>
    <w:rsid w:val="00C93225"/>
    <w:rsid w:val="00C95FC3"/>
    <w:rsid w:val="00CA0362"/>
    <w:rsid w:val="00CA1733"/>
    <w:rsid w:val="00CB1244"/>
    <w:rsid w:val="00CB3093"/>
    <w:rsid w:val="00CB545B"/>
    <w:rsid w:val="00CB58C7"/>
    <w:rsid w:val="00CB672F"/>
    <w:rsid w:val="00CC2176"/>
    <w:rsid w:val="00CC2515"/>
    <w:rsid w:val="00CC36F3"/>
    <w:rsid w:val="00CC647E"/>
    <w:rsid w:val="00CD348E"/>
    <w:rsid w:val="00CD348F"/>
    <w:rsid w:val="00CD3C42"/>
    <w:rsid w:val="00CE0F4F"/>
    <w:rsid w:val="00CE3471"/>
    <w:rsid w:val="00CF1005"/>
    <w:rsid w:val="00CF33BC"/>
    <w:rsid w:val="00CF56E1"/>
    <w:rsid w:val="00D03C30"/>
    <w:rsid w:val="00D0613D"/>
    <w:rsid w:val="00D102DF"/>
    <w:rsid w:val="00D109B1"/>
    <w:rsid w:val="00D1100B"/>
    <w:rsid w:val="00D11D46"/>
    <w:rsid w:val="00D17D01"/>
    <w:rsid w:val="00D20ED5"/>
    <w:rsid w:val="00D23C89"/>
    <w:rsid w:val="00D23CC6"/>
    <w:rsid w:val="00D2680A"/>
    <w:rsid w:val="00D315E1"/>
    <w:rsid w:val="00D32EA7"/>
    <w:rsid w:val="00D3313E"/>
    <w:rsid w:val="00D33569"/>
    <w:rsid w:val="00D42F83"/>
    <w:rsid w:val="00D50700"/>
    <w:rsid w:val="00D528BE"/>
    <w:rsid w:val="00D53DD2"/>
    <w:rsid w:val="00D56678"/>
    <w:rsid w:val="00D60649"/>
    <w:rsid w:val="00D60C06"/>
    <w:rsid w:val="00D63615"/>
    <w:rsid w:val="00D65B19"/>
    <w:rsid w:val="00D75B77"/>
    <w:rsid w:val="00D82E8F"/>
    <w:rsid w:val="00D830D7"/>
    <w:rsid w:val="00D9031E"/>
    <w:rsid w:val="00D972C3"/>
    <w:rsid w:val="00DA0852"/>
    <w:rsid w:val="00DA0B0E"/>
    <w:rsid w:val="00DA1AD6"/>
    <w:rsid w:val="00DA270A"/>
    <w:rsid w:val="00DA2772"/>
    <w:rsid w:val="00DB1A5A"/>
    <w:rsid w:val="00DB1C3D"/>
    <w:rsid w:val="00DB21D9"/>
    <w:rsid w:val="00DB51CE"/>
    <w:rsid w:val="00DB5984"/>
    <w:rsid w:val="00DB7E0A"/>
    <w:rsid w:val="00DC1D4F"/>
    <w:rsid w:val="00DC61FE"/>
    <w:rsid w:val="00DC6A86"/>
    <w:rsid w:val="00DD0CEE"/>
    <w:rsid w:val="00DD3A68"/>
    <w:rsid w:val="00DD3E30"/>
    <w:rsid w:val="00DD57FF"/>
    <w:rsid w:val="00DE27F3"/>
    <w:rsid w:val="00DE4918"/>
    <w:rsid w:val="00DE69AA"/>
    <w:rsid w:val="00DF2A9C"/>
    <w:rsid w:val="00DF40C1"/>
    <w:rsid w:val="00DF58DF"/>
    <w:rsid w:val="00DF6014"/>
    <w:rsid w:val="00DF6B22"/>
    <w:rsid w:val="00E020C1"/>
    <w:rsid w:val="00E02CDB"/>
    <w:rsid w:val="00E11C7B"/>
    <w:rsid w:val="00E16AA0"/>
    <w:rsid w:val="00E24282"/>
    <w:rsid w:val="00E2483F"/>
    <w:rsid w:val="00E2565A"/>
    <w:rsid w:val="00E31F02"/>
    <w:rsid w:val="00E36138"/>
    <w:rsid w:val="00E402CE"/>
    <w:rsid w:val="00E4206B"/>
    <w:rsid w:val="00E444A9"/>
    <w:rsid w:val="00E44BED"/>
    <w:rsid w:val="00E559CD"/>
    <w:rsid w:val="00E5658F"/>
    <w:rsid w:val="00E60BD0"/>
    <w:rsid w:val="00E65FC4"/>
    <w:rsid w:val="00E67432"/>
    <w:rsid w:val="00E67F24"/>
    <w:rsid w:val="00E70F25"/>
    <w:rsid w:val="00E73F72"/>
    <w:rsid w:val="00E75BA9"/>
    <w:rsid w:val="00E7621A"/>
    <w:rsid w:val="00E77134"/>
    <w:rsid w:val="00E77618"/>
    <w:rsid w:val="00E81BB7"/>
    <w:rsid w:val="00E90CFD"/>
    <w:rsid w:val="00E93864"/>
    <w:rsid w:val="00E97E05"/>
    <w:rsid w:val="00EA05BF"/>
    <w:rsid w:val="00EA6C4E"/>
    <w:rsid w:val="00EA72E4"/>
    <w:rsid w:val="00EB33C4"/>
    <w:rsid w:val="00EB3B43"/>
    <w:rsid w:val="00EB7CD7"/>
    <w:rsid w:val="00EC1354"/>
    <w:rsid w:val="00EC16D9"/>
    <w:rsid w:val="00EC4639"/>
    <w:rsid w:val="00EC69A5"/>
    <w:rsid w:val="00ED0BCA"/>
    <w:rsid w:val="00ED2E23"/>
    <w:rsid w:val="00ED672A"/>
    <w:rsid w:val="00EE5AB3"/>
    <w:rsid w:val="00EF146F"/>
    <w:rsid w:val="00EF229F"/>
    <w:rsid w:val="00EF44F1"/>
    <w:rsid w:val="00EF4C0F"/>
    <w:rsid w:val="00EF7187"/>
    <w:rsid w:val="00F07196"/>
    <w:rsid w:val="00F10675"/>
    <w:rsid w:val="00F11A20"/>
    <w:rsid w:val="00F142E1"/>
    <w:rsid w:val="00F176DA"/>
    <w:rsid w:val="00F2234B"/>
    <w:rsid w:val="00F24357"/>
    <w:rsid w:val="00F34C11"/>
    <w:rsid w:val="00F407F8"/>
    <w:rsid w:val="00F456D9"/>
    <w:rsid w:val="00F478B3"/>
    <w:rsid w:val="00F531FE"/>
    <w:rsid w:val="00F56696"/>
    <w:rsid w:val="00F617C5"/>
    <w:rsid w:val="00F6394D"/>
    <w:rsid w:val="00F63B51"/>
    <w:rsid w:val="00F63F2A"/>
    <w:rsid w:val="00F640C9"/>
    <w:rsid w:val="00F70338"/>
    <w:rsid w:val="00F77068"/>
    <w:rsid w:val="00F82629"/>
    <w:rsid w:val="00F84576"/>
    <w:rsid w:val="00F86CC0"/>
    <w:rsid w:val="00F871CF"/>
    <w:rsid w:val="00F911CB"/>
    <w:rsid w:val="00F91255"/>
    <w:rsid w:val="00F91FCC"/>
    <w:rsid w:val="00F924B2"/>
    <w:rsid w:val="00F95B38"/>
    <w:rsid w:val="00F96321"/>
    <w:rsid w:val="00F97FBA"/>
    <w:rsid w:val="00FA0B28"/>
    <w:rsid w:val="00FA458E"/>
    <w:rsid w:val="00FA48F3"/>
    <w:rsid w:val="00FB7583"/>
    <w:rsid w:val="00FC17D0"/>
    <w:rsid w:val="00FC322D"/>
    <w:rsid w:val="00FC3D99"/>
    <w:rsid w:val="00FC4D35"/>
    <w:rsid w:val="00FD5B63"/>
    <w:rsid w:val="00FD72CC"/>
    <w:rsid w:val="00FF036B"/>
    <w:rsid w:val="00FF3804"/>
    <w:rsid w:val="00FF4C3D"/>
    <w:rsid w:val="00FF6462"/>
    <w:rsid w:val="00FF7447"/>
    <w:rsid w:val="012F2AF0"/>
    <w:rsid w:val="01429F13"/>
    <w:rsid w:val="01B1F47A"/>
    <w:rsid w:val="0423498B"/>
    <w:rsid w:val="050E418C"/>
    <w:rsid w:val="05B285E6"/>
    <w:rsid w:val="06276FAF"/>
    <w:rsid w:val="065B38EB"/>
    <w:rsid w:val="06FAB437"/>
    <w:rsid w:val="07177301"/>
    <w:rsid w:val="076D4F4A"/>
    <w:rsid w:val="07EDDFB2"/>
    <w:rsid w:val="086CBD6E"/>
    <w:rsid w:val="09C09290"/>
    <w:rsid w:val="09F1BE96"/>
    <w:rsid w:val="0A127AEE"/>
    <w:rsid w:val="0ACF1648"/>
    <w:rsid w:val="0B20239F"/>
    <w:rsid w:val="0B8D8EF7"/>
    <w:rsid w:val="0C9D3CF8"/>
    <w:rsid w:val="0D708180"/>
    <w:rsid w:val="0E77D107"/>
    <w:rsid w:val="0E8539D1"/>
    <w:rsid w:val="0F069E94"/>
    <w:rsid w:val="0F772315"/>
    <w:rsid w:val="0FE84737"/>
    <w:rsid w:val="10047580"/>
    <w:rsid w:val="1006725A"/>
    <w:rsid w:val="103D83DF"/>
    <w:rsid w:val="112A4350"/>
    <w:rsid w:val="116AEF3B"/>
    <w:rsid w:val="118BEC95"/>
    <w:rsid w:val="1195F0E8"/>
    <w:rsid w:val="12EA9F4B"/>
    <w:rsid w:val="140602EB"/>
    <w:rsid w:val="143498CA"/>
    <w:rsid w:val="145BCF41"/>
    <w:rsid w:val="16082ED8"/>
    <w:rsid w:val="16ABFA51"/>
    <w:rsid w:val="171F6493"/>
    <w:rsid w:val="1758CDBB"/>
    <w:rsid w:val="17DA30BF"/>
    <w:rsid w:val="17F8DAD5"/>
    <w:rsid w:val="180C54E0"/>
    <w:rsid w:val="18343915"/>
    <w:rsid w:val="19477FB7"/>
    <w:rsid w:val="19E8398E"/>
    <w:rsid w:val="1A125FC6"/>
    <w:rsid w:val="1A4717FD"/>
    <w:rsid w:val="1AB8D99D"/>
    <w:rsid w:val="1B222A5C"/>
    <w:rsid w:val="1B5A8E17"/>
    <w:rsid w:val="1B6AC82C"/>
    <w:rsid w:val="1BE94152"/>
    <w:rsid w:val="1BF114C6"/>
    <w:rsid w:val="1C8603EF"/>
    <w:rsid w:val="1CB0509C"/>
    <w:rsid w:val="1D5BA657"/>
    <w:rsid w:val="1DAB82A7"/>
    <w:rsid w:val="1E30ECF1"/>
    <w:rsid w:val="1E37CF2E"/>
    <w:rsid w:val="1EAEECDA"/>
    <w:rsid w:val="1EFB07CF"/>
    <w:rsid w:val="1FD17480"/>
    <w:rsid w:val="201C38D8"/>
    <w:rsid w:val="203FB0DB"/>
    <w:rsid w:val="21536226"/>
    <w:rsid w:val="216ED886"/>
    <w:rsid w:val="21912A7F"/>
    <w:rsid w:val="226A9720"/>
    <w:rsid w:val="2370C2DF"/>
    <w:rsid w:val="23FDB0AD"/>
    <w:rsid w:val="24C26DBB"/>
    <w:rsid w:val="24C8CB41"/>
    <w:rsid w:val="24DCB52E"/>
    <w:rsid w:val="2554164E"/>
    <w:rsid w:val="2554ACFD"/>
    <w:rsid w:val="25A0C7F2"/>
    <w:rsid w:val="25B5B5E2"/>
    <w:rsid w:val="25F5CAC8"/>
    <w:rsid w:val="26487CA6"/>
    <w:rsid w:val="272DED32"/>
    <w:rsid w:val="28209A51"/>
    <w:rsid w:val="2835E9F1"/>
    <w:rsid w:val="29049BED"/>
    <w:rsid w:val="2905329C"/>
    <w:rsid w:val="2A818275"/>
    <w:rsid w:val="2AC3AFDC"/>
    <w:rsid w:val="2B7A3C71"/>
    <w:rsid w:val="2C9862C2"/>
    <w:rsid w:val="2CB5B83B"/>
    <w:rsid w:val="2CCD1AF9"/>
    <w:rsid w:val="2D016788"/>
    <w:rsid w:val="2D12A897"/>
    <w:rsid w:val="2D4804FC"/>
    <w:rsid w:val="2F4A0D6E"/>
    <w:rsid w:val="2F5DAA6C"/>
    <w:rsid w:val="2F7A6936"/>
    <w:rsid w:val="2FEF52FF"/>
    <w:rsid w:val="303A4A28"/>
    <w:rsid w:val="31267825"/>
    <w:rsid w:val="31644C01"/>
    <w:rsid w:val="3181A17A"/>
    <w:rsid w:val="31AA4560"/>
    <w:rsid w:val="31F5F494"/>
    <w:rsid w:val="328474FE"/>
    <w:rsid w:val="32AB55D0"/>
    <w:rsid w:val="334F95E3"/>
    <w:rsid w:val="33B54091"/>
    <w:rsid w:val="33E603D3"/>
    <w:rsid w:val="33EA9CF6"/>
    <w:rsid w:val="340362EE"/>
    <w:rsid w:val="342993AB"/>
    <w:rsid w:val="3514D1A0"/>
    <w:rsid w:val="363CB552"/>
    <w:rsid w:val="364BB19A"/>
    <w:rsid w:val="37B1E125"/>
    <w:rsid w:val="392ACBD0"/>
    <w:rsid w:val="39789709"/>
    <w:rsid w:val="398BB809"/>
    <w:rsid w:val="399A66EE"/>
    <w:rsid w:val="39CBE99B"/>
    <w:rsid w:val="39D27DA1"/>
    <w:rsid w:val="39E0BADF"/>
    <w:rsid w:val="3ACADBA3"/>
    <w:rsid w:val="3B6A9AC5"/>
    <w:rsid w:val="3B75CDA5"/>
    <w:rsid w:val="3BA2CB27"/>
    <w:rsid w:val="3C4E6ABB"/>
    <w:rsid w:val="3CBDFBF6"/>
    <w:rsid w:val="3CEFD01D"/>
    <w:rsid w:val="3D37AB1C"/>
    <w:rsid w:val="3DA97BE6"/>
    <w:rsid w:val="3DC76663"/>
    <w:rsid w:val="3EA8EA0A"/>
    <w:rsid w:val="3EFE1B1F"/>
    <w:rsid w:val="402A5426"/>
    <w:rsid w:val="4031782C"/>
    <w:rsid w:val="40763B81"/>
    <w:rsid w:val="41F7E82F"/>
    <w:rsid w:val="422452CB"/>
    <w:rsid w:val="42BDAC3F"/>
    <w:rsid w:val="42BEDF76"/>
    <w:rsid w:val="42ECD311"/>
    <w:rsid w:val="438B1503"/>
    <w:rsid w:val="44FA3942"/>
    <w:rsid w:val="450E3CF1"/>
    <w:rsid w:val="458AB928"/>
    <w:rsid w:val="45B8AC86"/>
    <w:rsid w:val="467FA85F"/>
    <w:rsid w:val="46E1F0D4"/>
    <w:rsid w:val="478B5F64"/>
    <w:rsid w:val="47CA9F13"/>
    <w:rsid w:val="49653648"/>
    <w:rsid w:val="499957D0"/>
    <w:rsid w:val="49BEFE7B"/>
    <w:rsid w:val="49E0E8E3"/>
    <w:rsid w:val="4A800339"/>
    <w:rsid w:val="4B32EAA1"/>
    <w:rsid w:val="4B87FFF8"/>
    <w:rsid w:val="4BD2B839"/>
    <w:rsid w:val="4C1035A7"/>
    <w:rsid w:val="4D9E17AA"/>
    <w:rsid w:val="4DBB9F0F"/>
    <w:rsid w:val="4DC949CA"/>
    <w:rsid w:val="4E761676"/>
    <w:rsid w:val="5007CE42"/>
    <w:rsid w:val="5037D014"/>
    <w:rsid w:val="511A4D98"/>
    <w:rsid w:val="5121E014"/>
    <w:rsid w:val="51679222"/>
    <w:rsid w:val="51AC8911"/>
    <w:rsid w:val="51C44FAD"/>
    <w:rsid w:val="522607C0"/>
    <w:rsid w:val="52345DB8"/>
    <w:rsid w:val="52592D9D"/>
    <w:rsid w:val="527F0421"/>
    <w:rsid w:val="52E478AA"/>
    <w:rsid w:val="53F7EEC4"/>
    <w:rsid w:val="5415443D"/>
    <w:rsid w:val="542CA6FB"/>
    <w:rsid w:val="54B66208"/>
    <w:rsid w:val="54D3B781"/>
    <w:rsid w:val="54D3BA7E"/>
    <w:rsid w:val="55480A9B"/>
    <w:rsid w:val="56E1AFED"/>
    <w:rsid w:val="573CB2FD"/>
    <w:rsid w:val="577BA9B2"/>
    <w:rsid w:val="58092DD3"/>
    <w:rsid w:val="585FD152"/>
    <w:rsid w:val="58B58856"/>
    <w:rsid w:val="59E40100"/>
    <w:rsid w:val="5ACAAC69"/>
    <w:rsid w:val="5AFE57AC"/>
    <w:rsid w:val="5C56069E"/>
    <w:rsid w:val="5CD6AA0A"/>
    <w:rsid w:val="5CDDCE10"/>
    <w:rsid w:val="5D225863"/>
    <w:rsid w:val="5DB5460A"/>
    <w:rsid w:val="5E1E41AC"/>
    <w:rsid w:val="5E237042"/>
    <w:rsid w:val="5E443C2B"/>
    <w:rsid w:val="5FB921DB"/>
    <w:rsid w:val="5FC8BC65"/>
    <w:rsid w:val="609087BD"/>
    <w:rsid w:val="62606FDE"/>
    <w:rsid w:val="62A1A7FD"/>
    <w:rsid w:val="62C7A351"/>
    <w:rsid w:val="632FFA52"/>
    <w:rsid w:val="63DD5666"/>
    <w:rsid w:val="643368A2"/>
    <w:rsid w:val="64667695"/>
    <w:rsid w:val="66C064E6"/>
    <w:rsid w:val="66CDDF45"/>
    <w:rsid w:val="67479797"/>
    <w:rsid w:val="67AF32E8"/>
    <w:rsid w:val="67EB6310"/>
    <w:rsid w:val="684C4F49"/>
    <w:rsid w:val="69ACA9D8"/>
    <w:rsid w:val="6A1E6B78"/>
    <w:rsid w:val="6A6B1D1C"/>
    <w:rsid w:val="6BF8425C"/>
    <w:rsid w:val="6C22AE4B"/>
    <w:rsid w:val="6C732C5F"/>
    <w:rsid w:val="6C87FDA3"/>
    <w:rsid w:val="6D07F9D0"/>
    <w:rsid w:val="6D339E29"/>
    <w:rsid w:val="6D7B810F"/>
    <w:rsid w:val="6E477737"/>
    <w:rsid w:val="6E70A591"/>
    <w:rsid w:val="6E7F2432"/>
    <w:rsid w:val="6E804DCC"/>
    <w:rsid w:val="6EBD8A06"/>
    <w:rsid w:val="6EEA54B7"/>
    <w:rsid w:val="6FC40675"/>
    <w:rsid w:val="7034D10E"/>
    <w:rsid w:val="7061234B"/>
    <w:rsid w:val="70A425C7"/>
    <w:rsid w:val="711B1FF8"/>
    <w:rsid w:val="71459EE9"/>
    <w:rsid w:val="7359E449"/>
    <w:rsid w:val="738A6322"/>
    <w:rsid w:val="74078226"/>
    <w:rsid w:val="75013E5E"/>
    <w:rsid w:val="75046C81"/>
    <w:rsid w:val="751665B4"/>
    <w:rsid w:val="755B5CA3"/>
    <w:rsid w:val="75C7064F"/>
    <w:rsid w:val="76368EB1"/>
    <w:rsid w:val="76F501F5"/>
    <w:rsid w:val="77F0B9BD"/>
    <w:rsid w:val="7825CD88"/>
    <w:rsid w:val="7914798C"/>
    <w:rsid w:val="796A36FB"/>
    <w:rsid w:val="79B25C19"/>
    <w:rsid w:val="7A4404AC"/>
    <w:rsid w:val="7A449B5B"/>
    <w:rsid w:val="7A596C9F"/>
    <w:rsid w:val="7A6C0A00"/>
    <w:rsid w:val="7C458193"/>
    <w:rsid w:val="7C7F5E78"/>
    <w:rsid w:val="7D361707"/>
    <w:rsid w:val="7D7B0DF6"/>
    <w:rsid w:val="7E3F7F14"/>
    <w:rsid w:val="7E413BEF"/>
    <w:rsid w:val="7E560D33"/>
    <w:rsid w:val="7F597BF8"/>
    <w:rsid w:val="7F7170D3"/>
    <w:rsid w:val="7FCE38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E69B"/>
  <w15:chartTrackingRefBased/>
  <w15:docId w15:val="{12E135E6-8447-478E-9ADC-A98942BB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2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3690"/>
    <w:pPr>
      <w:ind w:left="720"/>
      <w:contextualSpacing/>
    </w:pPr>
  </w:style>
  <w:style w:type="character" w:styleId="CommentReference">
    <w:name w:val="annotation reference"/>
    <w:basedOn w:val="DefaultParagraphFont"/>
    <w:uiPriority w:val="99"/>
    <w:semiHidden/>
    <w:unhideWhenUsed/>
    <w:rsid w:val="005A54FA"/>
    <w:rPr>
      <w:sz w:val="16"/>
      <w:szCs w:val="16"/>
    </w:rPr>
  </w:style>
  <w:style w:type="paragraph" w:styleId="CommentText">
    <w:name w:val="annotation text"/>
    <w:basedOn w:val="Normal"/>
    <w:link w:val="CommentTextChar"/>
    <w:uiPriority w:val="99"/>
    <w:semiHidden/>
    <w:unhideWhenUsed/>
    <w:rsid w:val="005A54FA"/>
    <w:rPr>
      <w:sz w:val="20"/>
      <w:szCs w:val="20"/>
    </w:rPr>
  </w:style>
  <w:style w:type="character" w:customStyle="1" w:styleId="CommentTextChar">
    <w:name w:val="Comment Text Char"/>
    <w:basedOn w:val="DefaultParagraphFont"/>
    <w:link w:val="CommentText"/>
    <w:uiPriority w:val="99"/>
    <w:semiHidden/>
    <w:rsid w:val="005A54FA"/>
    <w:rPr>
      <w:sz w:val="20"/>
      <w:szCs w:val="20"/>
    </w:rPr>
  </w:style>
  <w:style w:type="paragraph" w:styleId="CommentSubject">
    <w:name w:val="annotation subject"/>
    <w:basedOn w:val="CommentText"/>
    <w:next w:val="CommentText"/>
    <w:link w:val="CommentSubjectChar"/>
    <w:uiPriority w:val="99"/>
    <w:semiHidden/>
    <w:unhideWhenUsed/>
    <w:rsid w:val="005A54FA"/>
    <w:rPr>
      <w:b/>
      <w:bCs/>
    </w:rPr>
  </w:style>
  <w:style w:type="character" w:customStyle="1" w:styleId="CommentSubjectChar">
    <w:name w:val="Comment Subject Char"/>
    <w:basedOn w:val="CommentTextChar"/>
    <w:link w:val="CommentSubject"/>
    <w:uiPriority w:val="99"/>
    <w:semiHidden/>
    <w:rsid w:val="005A54FA"/>
    <w:rPr>
      <w:b/>
      <w:bCs/>
      <w:sz w:val="20"/>
      <w:szCs w:val="20"/>
    </w:rPr>
  </w:style>
  <w:style w:type="character" w:styleId="Mention">
    <w:name w:val="Mention"/>
    <w:basedOn w:val="DefaultParagraphFont"/>
    <w:uiPriority w:val="99"/>
    <w:unhideWhenUsed/>
    <w:rsid w:val="006013D4"/>
    <w:rPr>
      <w:color w:val="2B579A"/>
      <w:shd w:val="clear" w:color="auto" w:fill="E6E6E6"/>
    </w:rPr>
  </w:style>
  <w:style w:type="character" w:styleId="Hyperlink">
    <w:name w:val="Hyperlink"/>
    <w:basedOn w:val="DefaultParagraphFont"/>
    <w:uiPriority w:val="99"/>
    <w:unhideWhenUsed/>
    <w:rsid w:val="009B47FF"/>
    <w:rPr>
      <w:color w:val="0563C1" w:themeColor="hyperlink"/>
      <w:u w:val="single"/>
    </w:rPr>
  </w:style>
  <w:style w:type="character" w:styleId="UnresolvedMention">
    <w:name w:val="Unresolved Mention"/>
    <w:basedOn w:val="DefaultParagraphFont"/>
    <w:uiPriority w:val="99"/>
    <w:unhideWhenUsed/>
    <w:rsid w:val="009B47FF"/>
    <w:rPr>
      <w:color w:val="605E5C"/>
      <w:shd w:val="clear" w:color="auto" w:fill="E1DFDD"/>
    </w:rPr>
  </w:style>
  <w:style w:type="character" w:styleId="Emphasis">
    <w:name w:val="Emphasis"/>
    <w:basedOn w:val="DefaultParagraphFont"/>
    <w:uiPriority w:val="20"/>
    <w:qFormat/>
    <w:rsid w:val="006E3994"/>
    <w:rPr>
      <w:i/>
      <w:iCs/>
    </w:rPr>
  </w:style>
  <w:style w:type="character" w:styleId="FollowedHyperlink">
    <w:name w:val="FollowedHyperlink"/>
    <w:basedOn w:val="DefaultParagraphFont"/>
    <w:uiPriority w:val="99"/>
    <w:semiHidden/>
    <w:unhideWhenUsed/>
    <w:rsid w:val="002F6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206">
      <w:bodyDiv w:val="1"/>
      <w:marLeft w:val="0"/>
      <w:marRight w:val="0"/>
      <w:marTop w:val="0"/>
      <w:marBottom w:val="0"/>
      <w:divBdr>
        <w:top w:val="none" w:sz="0" w:space="0" w:color="auto"/>
        <w:left w:val="none" w:sz="0" w:space="0" w:color="auto"/>
        <w:bottom w:val="none" w:sz="0" w:space="0" w:color="auto"/>
        <w:right w:val="none" w:sz="0" w:space="0" w:color="auto"/>
      </w:divBdr>
    </w:div>
    <w:div w:id="1142425330">
      <w:bodyDiv w:val="1"/>
      <w:marLeft w:val="0"/>
      <w:marRight w:val="0"/>
      <w:marTop w:val="0"/>
      <w:marBottom w:val="0"/>
      <w:divBdr>
        <w:top w:val="none" w:sz="0" w:space="0" w:color="auto"/>
        <w:left w:val="none" w:sz="0" w:space="0" w:color="auto"/>
        <w:bottom w:val="none" w:sz="0" w:space="0" w:color="auto"/>
        <w:right w:val="none" w:sz="0" w:space="0" w:color="auto"/>
      </w:divBdr>
    </w:div>
    <w:div w:id="149240223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ce-us.org/" TargetMode="External"/><Relationship Id="rId18" Type="http://schemas.openxmlformats.org/officeDocument/2006/relationships/hyperlink" Target="https://www.brookings.edu/research/the-case-for-a-global-business-coalition-for-education/" TargetMode="External"/><Relationship Id="rId26" Type="http://schemas.openxmlformats.org/officeDocument/2006/relationships/hyperlink" Target="https://www.brookings.edu/research/the-potential-and-limitations-of-impact-bonds-lessons-from-the-first-five-years-of-experience-worldwide/" TargetMode="External"/><Relationship Id="rId39" Type="http://schemas.openxmlformats.org/officeDocument/2006/relationships/hyperlink" Target="https://www.brookings.edu/research/transforming-education-systems-why-what-and-how/" TargetMode="External"/><Relationship Id="rId21" Type="http://schemas.openxmlformats.org/officeDocument/2006/relationships/hyperlink" Target="https://www.youtube.com/watch?v=STAbgJa53pM" TargetMode="External"/><Relationship Id="rId34" Type="http://schemas.openxmlformats.org/officeDocument/2006/relationships/hyperlink" Target="https://www.brookings.edu/research-on-scaling-the-impact-of-innovations-in-education/" TargetMode="Externa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ookings.edu/research/a-global-compact-on-learning-taking-action-on-education-in-developing-countries/" TargetMode="External"/><Relationship Id="rId20" Type="http://schemas.openxmlformats.org/officeDocument/2006/relationships/hyperlink" Target="https://www.brookings.edu/research/the-case-for-a-global-business-coalition-for-education/" TargetMode="External"/><Relationship Id="rId29" Type="http://schemas.openxmlformats.org/officeDocument/2006/relationships/hyperlink" Target="https://www.educationoutcomesfund.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hyperlink" Target="https://www.youtube.com/watch?v=Ix1uHsz6Wo8" TargetMode="External"/><Relationship Id="rId32" Type="http://schemas.openxmlformats.org/officeDocument/2006/relationships/hyperlink" Target="https://www.youtube.com/watch?v=cF3dmn72gUE" TargetMode="External"/><Relationship Id="rId37" Type="http://schemas.openxmlformats.org/officeDocument/2006/relationships/hyperlink" Target="https://www.brookings.edu/research/addressing-education-inequality-with-a-next-generation-of-community-schools-a-blueprint-for-mayors-states-and-the-federal-government/" TargetMode="External"/><Relationship Id="rId40" Type="http://schemas.openxmlformats.org/officeDocument/2006/relationships/hyperlink" Target="https://www.brookings.edu/essay/collaborating-to-transform-and-improve-education-systems-a-playbook-for-family-school-engagement-conversation-starter-tools/" TargetMode="External"/><Relationship Id="rId5" Type="http://schemas.openxmlformats.org/officeDocument/2006/relationships/numbering" Target="numbering.xml"/><Relationship Id="rId15" Type="http://schemas.openxmlformats.org/officeDocument/2006/relationships/hyperlink" Target="https://www.brookings.edu/wp-content/uploads/2016/06/0609_global_compact.pdf" TargetMode="External"/><Relationship Id="rId23" Type="http://schemas.openxmlformats.org/officeDocument/2006/relationships/hyperlink" Target="https://sdgs.un.org/goals/goal4" TargetMode="External"/><Relationship Id="rId28" Type="http://schemas.openxmlformats.org/officeDocument/2006/relationships/hyperlink" Target="https://educationcommission.org/" TargetMode="External"/><Relationship Id="rId36" Type="http://schemas.openxmlformats.org/officeDocument/2006/relationships/hyperlink" Target="https://www.brookings.edu/research/addressing-education-inequality-with-a-next-generation-of-community-schools-a-blueprint-for-mayors-states-and-the-federal-government/" TargetMode="External"/><Relationship Id="rId10" Type="http://schemas.microsoft.com/office/2011/relationships/commentsExtended" Target="commentsExtended.xml"/><Relationship Id="rId19" Type="http://schemas.openxmlformats.org/officeDocument/2006/relationships/hyperlink" Target="https://gbc-education.org/about-us/" TargetMode="External"/><Relationship Id="rId31" Type="http://schemas.openxmlformats.org/officeDocument/2006/relationships/hyperlink" Target="https://www.brookings.edu/research/millions-learning-scaling-up-quality-education-in-developing-countries/"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brookings.edu/book/what-works-in-girls-education-evidence-for-the-worlds-best-investment/" TargetMode="External"/><Relationship Id="rId22" Type="http://schemas.openxmlformats.org/officeDocument/2006/relationships/hyperlink" Target="https://gaml.uis.unesco.org/" TargetMode="External"/><Relationship Id="rId27" Type="http://schemas.openxmlformats.org/officeDocument/2006/relationships/hyperlink" Target="https://www.brookings.edu/wp-content/uploads/2016/07/FinancingForEducation2015.pdf" TargetMode="External"/><Relationship Id="rId30" Type="http://schemas.openxmlformats.org/officeDocument/2006/relationships/hyperlink" Target="https://www.brookings.edu/wp-content/uploads/2016/04/FINAL-Millions-Learning-Report-1.pdf" TargetMode="External"/><Relationship Id="rId35" Type="http://schemas.openxmlformats.org/officeDocument/2006/relationships/hyperlink" Target="https://www.brookings.edu/essay/collaborating-to-transform-and-improve-education-systems-a-playbook-for-family-school-engagement/"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educationenvoy.org/" TargetMode="External"/><Relationship Id="rId25" Type="http://schemas.openxmlformats.org/officeDocument/2006/relationships/hyperlink" Target="https://www.brookings.edu/multi-chapter-report/measuring-the-success-of-impact-bonds/" TargetMode="External"/><Relationship Id="rId33" Type="http://schemas.openxmlformats.org/officeDocument/2006/relationships/hyperlink" Target="https://www.brookings.edu/research/putting-scaling-principles-into-practice-resources-to-expand-and-sustain-impact-in-education/" TargetMode="External"/><Relationship Id="rId38" Type="http://schemas.openxmlformats.org/officeDocument/2006/relationships/hyperlink" Target="https://www.brookings.edu/research/transforming-education-systems-why-what-and-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BEA98A33085D4A81F69D4BFC7EEF14" ma:contentTypeVersion="17" ma:contentTypeDescription="Create a new document." ma:contentTypeScope="" ma:versionID="8e96f5fd3279f57b228b15c029f5c3ff">
  <xsd:schema xmlns:xsd="http://www.w3.org/2001/XMLSchema" xmlns:xs="http://www.w3.org/2001/XMLSchema" xmlns:p="http://schemas.microsoft.com/office/2006/metadata/properties" xmlns:ns2="0ba65c1c-5d40-4f21-900a-250ed11aebd3" xmlns:ns3="c21abd36-43c4-44e4-907d-7ec2d5c8b800" targetNamespace="http://schemas.microsoft.com/office/2006/metadata/properties" ma:root="true" ma:fieldsID="bdc02c5e518133a14e29dd81837e21c9" ns2:_="" ns3:_="">
    <xsd:import namespace="0ba65c1c-5d40-4f21-900a-250ed11aebd3"/>
    <xsd:import namespace="c21abd36-43c4-44e4-907d-7ec2d5c8b800"/>
    <xsd:element name="properties">
      <xsd:complexType>
        <xsd:sequence>
          <xsd:element name="documentManagement">
            <xsd:complexType>
              <xsd:all>
                <xsd:element ref="ns2:MediaServiceMetadata" minOccurs="0"/>
                <xsd:element ref="ns2:MediaServiceFastMetadata" minOccurs="0"/>
                <xsd:element ref="ns2:Published"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65c1c-5d40-4f21-900a-250ed11ae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ublished" ma:index="10" nillable="true" ma:displayName="Published" ma:default="0" ma:format="Dropdown" ma:internalName="Published">
      <xsd:simpleType>
        <xsd:restriction base="dms:Boolea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eb4b2d4-9bb6-49a7-8a4b-ec3b3538ad4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1abd36-43c4-44e4-907d-7ec2d5c8b80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1426c98d-79ea-4991-bb1d-6d7363727957}" ma:internalName="TaxCatchAll" ma:showField="CatchAllData" ma:web="c21abd36-43c4-44e4-907d-7ec2d5c8b8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ed xmlns="0ba65c1c-5d40-4f21-900a-250ed11aebd3">false</Published>
    <SharedWithUsers xmlns="c21abd36-43c4-44e4-907d-7ec2d5c8b800">
      <UserInfo>
        <DisplayName>Katherine Portnoy</DisplayName>
        <AccountId>14</AccountId>
        <AccountType/>
      </UserInfo>
      <UserInfo>
        <DisplayName>Jennifer O'Donoghue</DisplayName>
        <AccountId>1595</AccountId>
        <AccountType/>
      </UserInfo>
      <UserInfo>
        <DisplayName>Alexa Pust</DisplayName>
        <AccountId>1696</AccountId>
        <AccountType/>
      </UserInfo>
      <UserInfo>
        <DisplayName>Rebecca Winthrop</DisplayName>
        <AccountId>37</AccountId>
        <AccountType/>
      </UserInfo>
      <UserInfo>
        <DisplayName>Esther Rosen</DisplayName>
        <AccountId>1590</AccountId>
        <AccountType/>
      </UserInfo>
      <UserInfo>
        <DisplayName>Sean Jones</DisplayName>
        <AccountId>1634</AccountId>
        <AccountType/>
      </UserInfo>
      <UserInfo>
        <DisplayName>Michelle McLoughlin</DisplayName>
        <AccountId>1746</AccountId>
        <AccountType/>
      </UserInfo>
      <UserInfo>
        <DisplayName>Molly Curtiss Wyss</DisplayName>
        <AccountId>47</AccountId>
        <AccountType/>
      </UserInfo>
      <UserInfo>
        <DisplayName>Emily Gustafsson-Wright</DisplayName>
        <AccountId>48</AccountId>
        <AccountType/>
      </UserInfo>
      <UserInfo>
        <DisplayName>Helen Hadani</DisplayName>
        <AccountId>1572</AccountId>
        <AccountType/>
      </UserInfo>
    </SharedWithUsers>
    <lcf76f155ced4ddcb4097134ff3c332f xmlns="0ba65c1c-5d40-4f21-900a-250ed11aebd3">
      <Terms xmlns="http://schemas.microsoft.com/office/infopath/2007/PartnerControls"/>
    </lcf76f155ced4ddcb4097134ff3c332f>
    <TaxCatchAll xmlns="c21abd36-43c4-44e4-907d-7ec2d5c8b80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53D6F-110D-4463-867D-F5E9DEEEAF53}">
  <ds:schemaRefs>
    <ds:schemaRef ds:uri="http://schemas.microsoft.com/sharepoint/v3/contenttype/forms"/>
  </ds:schemaRefs>
</ds:datastoreItem>
</file>

<file path=customXml/itemProps2.xml><?xml version="1.0" encoding="utf-8"?>
<ds:datastoreItem xmlns:ds="http://schemas.openxmlformats.org/officeDocument/2006/customXml" ds:itemID="{00A046FF-F098-4DB1-80BF-C626E7914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65c1c-5d40-4f21-900a-250ed11aebd3"/>
    <ds:schemaRef ds:uri="c21abd36-43c4-44e4-907d-7ec2d5c8b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7E908-D337-4156-8417-B40417B25287}">
  <ds:schemaRefs>
    <ds:schemaRef ds:uri="http://schemas.microsoft.com/office/2006/metadata/properties"/>
    <ds:schemaRef ds:uri="http://schemas.microsoft.com/office/infopath/2007/PartnerControls"/>
    <ds:schemaRef ds:uri="0ba65c1c-5d40-4f21-900a-250ed11aebd3"/>
    <ds:schemaRef ds:uri="c21abd36-43c4-44e4-907d-7ec2d5c8b800"/>
  </ds:schemaRefs>
</ds:datastoreItem>
</file>

<file path=customXml/itemProps4.xml><?xml version="1.0" encoding="utf-8"?>
<ds:datastoreItem xmlns:ds="http://schemas.openxmlformats.org/officeDocument/2006/customXml" ds:itemID="{68F07F2F-6D03-41F1-862B-D41EEAC47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2264</Words>
  <Characters>13520</Characters>
  <Application>Microsoft Office Word</Application>
  <DocSecurity>0</DocSecurity>
  <Lines>845</Lines>
  <Paragraphs>166</Paragraphs>
  <ScaleCrop>false</ScaleCrop>
  <Company/>
  <LinksUpToDate>false</LinksUpToDate>
  <CharactersWithSpaces>15618</CharactersWithSpaces>
  <SharedDoc>false</SharedDoc>
  <HLinks>
    <vt:vector size="150" baseType="variant">
      <vt:variant>
        <vt:i4>3932280</vt:i4>
      </vt:variant>
      <vt:variant>
        <vt:i4>42</vt:i4>
      </vt:variant>
      <vt:variant>
        <vt:i4>0</vt:i4>
      </vt:variant>
      <vt:variant>
        <vt:i4>5</vt:i4>
      </vt:variant>
      <vt:variant>
        <vt:lpwstr>https://www.brookings.edu/research/transforming-education-systems-why-what-and-how/</vt:lpwstr>
      </vt:variant>
      <vt:variant>
        <vt:lpwstr/>
      </vt:variant>
      <vt:variant>
        <vt:i4>917534</vt:i4>
      </vt:variant>
      <vt:variant>
        <vt:i4>39</vt:i4>
      </vt:variant>
      <vt:variant>
        <vt:i4>0</vt:i4>
      </vt:variant>
      <vt:variant>
        <vt:i4>5</vt:i4>
      </vt:variant>
      <vt:variant>
        <vt:lpwstr>https://www.brookings.edu/research/addressing-education-inequality-with-a-next-generation-of-community-schools-a-blueprint-for-mayors-states-and-the-federal-government/</vt:lpwstr>
      </vt:variant>
      <vt:variant>
        <vt:lpwstr/>
      </vt:variant>
      <vt:variant>
        <vt:i4>458774</vt:i4>
      </vt:variant>
      <vt:variant>
        <vt:i4>36</vt:i4>
      </vt:variant>
      <vt:variant>
        <vt:i4>0</vt:i4>
      </vt:variant>
      <vt:variant>
        <vt:i4>5</vt:i4>
      </vt:variant>
      <vt:variant>
        <vt:lpwstr>https://www.brookings.edu/research-on-scaling-the-impact-of-innovations-in-education/</vt:lpwstr>
      </vt:variant>
      <vt:variant>
        <vt:lpwstr/>
      </vt:variant>
      <vt:variant>
        <vt:i4>4063271</vt:i4>
      </vt:variant>
      <vt:variant>
        <vt:i4>33</vt:i4>
      </vt:variant>
      <vt:variant>
        <vt:i4>0</vt:i4>
      </vt:variant>
      <vt:variant>
        <vt:i4>5</vt:i4>
      </vt:variant>
      <vt:variant>
        <vt:lpwstr>https://www.educationoutcomesfund.org/</vt:lpwstr>
      </vt:variant>
      <vt:variant>
        <vt:lpwstr/>
      </vt:variant>
      <vt:variant>
        <vt:i4>2097266</vt:i4>
      </vt:variant>
      <vt:variant>
        <vt:i4>30</vt:i4>
      </vt:variant>
      <vt:variant>
        <vt:i4>0</vt:i4>
      </vt:variant>
      <vt:variant>
        <vt:i4>5</vt:i4>
      </vt:variant>
      <vt:variant>
        <vt:lpwstr>https://www.capitolbreathefree.com/</vt:lpwstr>
      </vt:variant>
      <vt:variant>
        <vt:lpwstr/>
      </vt:variant>
      <vt:variant>
        <vt:i4>2097186</vt:i4>
      </vt:variant>
      <vt:variant>
        <vt:i4>27</vt:i4>
      </vt:variant>
      <vt:variant>
        <vt:i4>0</vt:i4>
      </vt:variant>
      <vt:variant>
        <vt:i4>5</vt:i4>
      </vt:variant>
      <vt:variant>
        <vt:lpwstr>https://www.brookings.edu/wp-content/uploads/2016/07/FinancingForEducation2015.pdf</vt:lpwstr>
      </vt:variant>
      <vt:variant>
        <vt:lpwstr/>
      </vt:variant>
      <vt:variant>
        <vt:i4>3080303</vt:i4>
      </vt:variant>
      <vt:variant>
        <vt:i4>24</vt:i4>
      </vt:variant>
      <vt:variant>
        <vt:i4>0</vt:i4>
      </vt:variant>
      <vt:variant>
        <vt:i4>5</vt:i4>
      </vt:variant>
      <vt:variant>
        <vt:lpwstr>https://sdgs.un.org/goals/goal4</vt:lpwstr>
      </vt:variant>
      <vt:variant>
        <vt:lpwstr/>
      </vt:variant>
      <vt:variant>
        <vt:i4>1704025</vt:i4>
      </vt:variant>
      <vt:variant>
        <vt:i4>21</vt:i4>
      </vt:variant>
      <vt:variant>
        <vt:i4>0</vt:i4>
      </vt:variant>
      <vt:variant>
        <vt:i4>5</vt:i4>
      </vt:variant>
      <vt:variant>
        <vt:lpwstr>https://gaml.uis.unesco.org/</vt:lpwstr>
      </vt:variant>
      <vt:variant>
        <vt:lpwstr/>
      </vt:variant>
      <vt:variant>
        <vt:i4>6684776</vt:i4>
      </vt:variant>
      <vt:variant>
        <vt:i4>18</vt:i4>
      </vt:variant>
      <vt:variant>
        <vt:i4>0</vt:i4>
      </vt:variant>
      <vt:variant>
        <vt:i4>5</vt:i4>
      </vt:variant>
      <vt:variant>
        <vt:lpwstr>https://www.youtube.com/watch?v=STAbgJa53pM</vt:lpwstr>
      </vt:variant>
      <vt:variant>
        <vt:lpwstr/>
      </vt:variant>
      <vt:variant>
        <vt:i4>7274603</vt:i4>
      </vt:variant>
      <vt:variant>
        <vt:i4>15</vt:i4>
      </vt:variant>
      <vt:variant>
        <vt:i4>0</vt:i4>
      </vt:variant>
      <vt:variant>
        <vt:i4>5</vt:i4>
      </vt:variant>
      <vt:variant>
        <vt:lpwstr>https://educationenvoy.org/</vt:lpwstr>
      </vt:variant>
      <vt:variant>
        <vt:lpwstr/>
      </vt:variant>
      <vt:variant>
        <vt:i4>7536745</vt:i4>
      </vt:variant>
      <vt:variant>
        <vt:i4>12</vt:i4>
      </vt:variant>
      <vt:variant>
        <vt:i4>0</vt:i4>
      </vt:variant>
      <vt:variant>
        <vt:i4>5</vt:i4>
      </vt:variant>
      <vt:variant>
        <vt:lpwstr>https://www.brookings.edu/wp-content/uploads/2016/06/0609_global_compact.pdf</vt:lpwstr>
      </vt:variant>
      <vt:variant>
        <vt:lpwstr/>
      </vt:variant>
      <vt:variant>
        <vt:i4>7864373</vt:i4>
      </vt:variant>
      <vt:variant>
        <vt:i4>9</vt:i4>
      </vt:variant>
      <vt:variant>
        <vt:i4>0</vt:i4>
      </vt:variant>
      <vt:variant>
        <vt:i4>5</vt:i4>
      </vt:variant>
      <vt:variant>
        <vt:lpwstr>https://gbc-education.org/about-us/</vt:lpwstr>
      </vt:variant>
      <vt:variant>
        <vt:lpwstr/>
      </vt:variant>
      <vt:variant>
        <vt:i4>6291571</vt:i4>
      </vt:variant>
      <vt:variant>
        <vt:i4>6</vt:i4>
      </vt:variant>
      <vt:variant>
        <vt:i4>0</vt:i4>
      </vt:variant>
      <vt:variant>
        <vt:i4>5</vt:i4>
      </vt:variant>
      <vt:variant>
        <vt:lpwstr>https://www.brookings.edu/research/the-case-for-a-global-business-coalition-for-education/</vt:lpwstr>
      </vt:variant>
      <vt:variant>
        <vt:lpwstr/>
      </vt:variant>
      <vt:variant>
        <vt:i4>6619250</vt:i4>
      </vt:variant>
      <vt:variant>
        <vt:i4>3</vt:i4>
      </vt:variant>
      <vt:variant>
        <vt:i4>0</vt:i4>
      </vt:variant>
      <vt:variant>
        <vt:i4>5</vt:i4>
      </vt:variant>
      <vt:variant>
        <vt:lpwstr>https://www.brookings.edu/book/what-works-in-girls-education-evidence-for-the-worlds-best-investment/</vt:lpwstr>
      </vt:variant>
      <vt:variant>
        <vt:lpwstr>:~:text=What%20Works%20in%20Girls'%20Education%20is%20a%20compelling%20work%20for,and%20policies%20on%20girls'%20education.</vt:lpwstr>
      </vt:variant>
      <vt:variant>
        <vt:i4>8192107</vt:i4>
      </vt:variant>
      <vt:variant>
        <vt:i4>0</vt:i4>
      </vt:variant>
      <vt:variant>
        <vt:i4>0</vt:i4>
      </vt:variant>
      <vt:variant>
        <vt:i4>5</vt:i4>
      </vt:variant>
      <vt:variant>
        <vt:lpwstr>https://www.gce-us.org/</vt:lpwstr>
      </vt:variant>
      <vt:variant>
        <vt:lpwstr/>
      </vt:variant>
      <vt:variant>
        <vt:i4>8323173</vt:i4>
      </vt:variant>
      <vt:variant>
        <vt:i4>27</vt:i4>
      </vt:variant>
      <vt:variant>
        <vt:i4>0</vt:i4>
      </vt:variant>
      <vt:variant>
        <vt:i4>5</vt:i4>
      </vt:variant>
      <vt:variant>
        <vt:lpwstr>https://www.brookings.edu/research/learning-landscapes-can-urban-planning-and-the-learning-sciences-work-together-to-help-children/</vt:lpwstr>
      </vt:variant>
      <vt:variant>
        <vt:lpwstr/>
      </vt:variant>
      <vt:variant>
        <vt:i4>6553665</vt:i4>
      </vt:variant>
      <vt:variant>
        <vt:i4>24</vt:i4>
      </vt:variant>
      <vt:variant>
        <vt:i4>0</vt:i4>
      </vt:variant>
      <vt:variant>
        <vt:i4>5</vt:i4>
      </vt:variant>
      <vt:variant>
        <vt:lpwstr>mailto:KPortnoy@brookings.edu</vt:lpwstr>
      </vt:variant>
      <vt:variant>
        <vt:lpwstr/>
      </vt:variant>
      <vt:variant>
        <vt:i4>6553665</vt:i4>
      </vt:variant>
      <vt:variant>
        <vt:i4>21</vt:i4>
      </vt:variant>
      <vt:variant>
        <vt:i4>0</vt:i4>
      </vt:variant>
      <vt:variant>
        <vt:i4>5</vt:i4>
      </vt:variant>
      <vt:variant>
        <vt:lpwstr>mailto:KPortnoy@brookings.edu</vt:lpwstr>
      </vt:variant>
      <vt:variant>
        <vt:lpwstr/>
      </vt:variant>
      <vt:variant>
        <vt:i4>6553665</vt:i4>
      </vt:variant>
      <vt:variant>
        <vt:i4>18</vt:i4>
      </vt:variant>
      <vt:variant>
        <vt:i4>0</vt:i4>
      </vt:variant>
      <vt:variant>
        <vt:i4>5</vt:i4>
      </vt:variant>
      <vt:variant>
        <vt:lpwstr>mailto:KPortnoy@brookings.edu</vt:lpwstr>
      </vt:variant>
      <vt:variant>
        <vt:lpwstr/>
      </vt:variant>
      <vt:variant>
        <vt:i4>2424894</vt:i4>
      </vt:variant>
      <vt:variant>
        <vt:i4>15</vt:i4>
      </vt:variant>
      <vt:variant>
        <vt:i4>0</vt:i4>
      </vt:variant>
      <vt:variant>
        <vt:i4>5</vt:i4>
      </vt:variant>
      <vt:variant>
        <vt:lpwstr>https://www.cfr.org/news-releases/cfrs-center-universal-education-proposes-blueprint-global-education-fund</vt:lpwstr>
      </vt:variant>
      <vt:variant>
        <vt:lpwstr/>
      </vt:variant>
      <vt:variant>
        <vt:i4>6553665</vt:i4>
      </vt:variant>
      <vt:variant>
        <vt:i4>12</vt:i4>
      </vt:variant>
      <vt:variant>
        <vt:i4>0</vt:i4>
      </vt:variant>
      <vt:variant>
        <vt:i4>5</vt:i4>
      </vt:variant>
      <vt:variant>
        <vt:lpwstr>mailto:KPortnoy@brookings.edu</vt:lpwstr>
      </vt:variant>
      <vt:variant>
        <vt:lpwstr/>
      </vt:variant>
      <vt:variant>
        <vt:i4>7798860</vt:i4>
      </vt:variant>
      <vt:variant>
        <vt:i4>9</vt:i4>
      </vt:variant>
      <vt:variant>
        <vt:i4>0</vt:i4>
      </vt:variant>
      <vt:variant>
        <vt:i4>5</vt:i4>
      </vt:variant>
      <vt:variant>
        <vt:lpwstr>mailto:egustafssonwright@brookings.edu</vt:lpwstr>
      </vt:variant>
      <vt:variant>
        <vt:lpwstr/>
      </vt:variant>
      <vt:variant>
        <vt:i4>6553665</vt:i4>
      </vt:variant>
      <vt:variant>
        <vt:i4>6</vt:i4>
      </vt:variant>
      <vt:variant>
        <vt:i4>0</vt:i4>
      </vt:variant>
      <vt:variant>
        <vt:i4>5</vt:i4>
      </vt:variant>
      <vt:variant>
        <vt:lpwstr>mailto:KPortnoy@brookings.edu</vt:lpwstr>
      </vt:variant>
      <vt:variant>
        <vt:lpwstr/>
      </vt:variant>
      <vt:variant>
        <vt:i4>589878</vt:i4>
      </vt:variant>
      <vt:variant>
        <vt:i4>3</vt:i4>
      </vt:variant>
      <vt:variant>
        <vt:i4>0</vt:i4>
      </vt:variant>
      <vt:variant>
        <vt:i4>5</vt:i4>
      </vt:variant>
      <vt:variant>
        <vt:lpwstr>mailto:JODonoghue@brookings.edu</vt:lpwstr>
      </vt:variant>
      <vt:variant>
        <vt:lpwstr/>
      </vt:variant>
      <vt:variant>
        <vt:i4>6553677</vt:i4>
      </vt:variant>
      <vt:variant>
        <vt:i4>0</vt:i4>
      </vt:variant>
      <vt:variant>
        <vt:i4>0</vt:i4>
      </vt:variant>
      <vt:variant>
        <vt:i4>5</vt:i4>
      </vt:variant>
      <vt:variant>
        <vt:lpwstr>mailto:RWINTHROP@brookings.edu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O'Donoghue</dc:creator>
  <cp:keywords/>
  <dc:description/>
  <cp:lastModifiedBy>Katherine Portnoy</cp:lastModifiedBy>
  <cp:revision>8</cp:revision>
  <dcterms:created xsi:type="dcterms:W3CDTF">2022-08-09T23:46:00Z</dcterms:created>
  <dcterms:modified xsi:type="dcterms:W3CDTF">2022-08-09T23:57:00Z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0x0101000DBEA98A33085D4A81F69D4BFC7EEF14</vt:lpwstr>
  </property>
  <property fmtid="{D5CDD505-2E9C-101B-9397-08002B2CF9AE}" pid="3" name="MediaServiceImageTags">
    <vt:lpwstr/>
  </property>
</Properties>
</file>