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1"/>
      </w:pPr>
      <w:r>
        <w:rPr>
          <w:b w:val="0"/>
          <w:i w:val="0"/>
        </w:rPr>
        <w:t>Supplementary Material</w:t>
      </w:r>
    </w:p>
    <w:p>
      <w:pPr/>
      <w:r>
        <w:rPr>
          <w:b w:val="0"/>
          <w:i w:val="0"/>
        </w:rPr>
        <w:t>Pseudo-replication and composite degree in affiliation-string co-authorship networks: node identity manufactures certainty, hyperauthorship carries much of the effect</w:t>
      </w:r>
    </w:p>
    <w:p>
      <w:pPr/>
      <w:r>
        <w:rPr>
          <w:b w:val="0"/>
          <w:i w:val="0"/>
        </w:rPr>
        <w:t>Hung-Chi Chang. Journal of Informetrics (Short Communication). Corresponding author: dddsss5419@gmail.com.</w:t>
      </w:r>
    </w:p>
    <w:p>
      <w:pPr/>
      <w:r>
        <w:rPr>
          <w:b w:val="0"/>
          <w:i w:val="0"/>
        </w:rPr>
        <w:t>Unless stated otherwise, I fit every estimate below as a negative binomial generalized linear model of institutional degree centrality on the binary park-proximity indicator and three infrastructure-density covariates. The dispersion parameter is estimated by maximum likelihood. All models use the headline specification: a 5,000 m treatment radius, with the university and research-institute density covariate also measured at 5,000 m. Both come from the August 2026 OpenStreetMap retrieval. The deposited pipeline reproduces every analysis in this file (https://doi.org/10.5281/zenodo.21877240). The analyses of S4–S9 and S13 come from analysis/15_reviewer_response_analyses.py, and those of S20–S22 from analysis/16_review_response_2026_09.py. The Table 1 bootstrap, the log-IRR intervals of S4, the calibrated grid of S6, the other-cap placebos of S20, and the matched draws of S21 come from analysis/17_review_response_round2.py. The deposit's verification script can re-execute all of them.</w:t>
      </w:r>
    </w:p>
    <w:p>
      <w:pPr>
        <w:pStyle w:val="2"/>
      </w:pPr>
      <w:r>
        <w:rPr>
          <w:b w:val="0"/>
          <w:i w:val="0"/>
        </w:rPr>
        <w:t>S0 Index of supplementary sections by protocol item</w:t>
      </w:r>
    </w:p>
    <w:tbl>
      <w:tblPr>
        <w:tblW w:type="auto" w:w="0"/>
        <w:tblLayout w:type="autofit"/>
        <w:tblLook w:firstColumn="1" w:firstRow="1" w:lastColumn="0" w:lastRow="0" w:noHBand="0" w:noVBand="1" w:val="04A0"/>
        <w:tblBorders>
          <w:top w:val="single" w:sz="4" w:space="0" w:color="000000"/>
          <w:bottom w:val="single" w:sz="4" w:space="0" w:color="000000"/>
          <w:insideH w:val="single" w:sz="4" w:space="0" w:color="000000"/>
          <w:left w:val="nil"/>
          <w:right w:val="nil"/>
          <w:insideV w:val="nil"/>
        </w:tblBorders>
      </w:tblPr>
      <w:tblGrid>
        <w:gridCol w:w="3009"/>
        <w:gridCol w:w="3009"/>
        <w:gridCol w:w="3009"/>
      </w:tblGrid>
      <w:tr>
        <w:tc>
          <w:tcPr>
            <w:tcW w:type="dxa" w:w="3009"/>
          </w:tcPr>
          <w:p>
            <w:pPr>
              <w:spacing w:after="0" w:before="0"/>
              <w:jc w:val="left"/>
            </w:pPr>
            <w:r/>
            <w:r>
              <w:rPr>
                <w:rFonts w:ascii="Times New Roman" w:hAnsi="Times New Roman"/>
                <w:b/>
                <w:sz w:val="18"/>
              </w:rPr>
              <w:t>Item</w:t>
            </w:r>
          </w:p>
        </w:tc>
        <w:tc>
          <w:tcPr>
            <w:tcW w:type="dxa" w:w="3009"/>
          </w:tcPr>
          <w:p>
            <w:pPr>
              <w:spacing w:after="0" w:before="0"/>
              <w:jc w:val="left"/>
            </w:pPr>
            <w:r/>
            <w:r>
              <w:rPr>
                <w:rFonts w:ascii="Times New Roman" w:hAnsi="Times New Roman"/>
                <w:b/>
                <w:sz w:val="18"/>
              </w:rPr>
              <w:t>Supplementary section</w:t>
            </w:r>
          </w:p>
        </w:tc>
        <w:tc>
          <w:tcPr>
            <w:tcW w:type="dxa" w:w="3009"/>
          </w:tcPr>
          <w:p>
            <w:pPr>
              <w:spacing w:after="0" w:before="0"/>
              <w:jc w:val="left"/>
            </w:pPr>
            <w:r/>
            <w:r>
              <w:rPr>
                <w:rFonts w:ascii="Times New Roman" w:hAnsi="Times New Roman"/>
                <w:b/>
                <w:sz w:val="18"/>
              </w:rPr>
              <w:t>Main-text location</w:t>
            </w:r>
          </w:p>
        </w:tc>
      </w:tr>
      <w:tr>
        <w:tc>
          <w:tcPr>
            <w:tcW w:type="dxa" w:w="3009"/>
          </w:tcPr>
          <w:p>
            <w:pPr>
              <w:spacing w:after="0" w:before="0"/>
              <w:jc w:val="left"/>
            </w:pPr>
            <w:r/>
            <w:r>
              <w:rPr>
                <w:rFonts w:ascii="Times New Roman" w:hAnsi="Times New Roman"/>
                <w:sz w:val="18"/>
              </w:rPr>
              <w:t>Full reporting protocol (14 items, tagged)</w:t>
            </w:r>
          </w:p>
        </w:tc>
        <w:tc>
          <w:tcPr>
            <w:tcW w:type="dxa" w:w="3009"/>
          </w:tcPr>
          <w:p>
            <w:pPr>
              <w:spacing w:after="0" w:before="0"/>
              <w:jc w:val="left"/>
            </w:pPr>
            <w:r/>
            <w:r>
              <w:rPr>
                <w:rFonts w:ascii="Times New Roman" w:hAnsi="Times New Roman"/>
                <w:sz w:val="18"/>
              </w:rPr>
              <w:t>S16, Table S9</w:t>
            </w:r>
          </w:p>
        </w:tc>
        <w:tc>
          <w:tcPr>
            <w:tcW w:type="dxa" w:w="3009"/>
          </w:tcPr>
          <w:p>
            <w:pPr>
              <w:spacing w:after="0" w:before="0"/>
              <w:jc w:val="left"/>
            </w:pPr>
            <w:r/>
            <w:r>
              <w:rPr>
                <w:rFonts w:ascii="Times New Roman" w:hAnsi="Times New Roman"/>
                <w:sz w:val="18"/>
              </w:rPr>
              <w:t>Section 1; Section 4</w:t>
            </w:r>
          </w:p>
        </w:tc>
      </w:tr>
      <w:tr>
        <w:tc>
          <w:tcPr>
            <w:tcW w:type="dxa" w:w="3009"/>
          </w:tcPr>
          <w:p>
            <w:pPr>
              <w:spacing w:after="0" w:before="0"/>
              <w:jc w:val="left"/>
            </w:pPr>
            <w:r/>
            <w:r>
              <w:rPr>
                <w:rFonts w:ascii="Times New Roman" w:hAnsi="Times New Roman"/>
                <w:sz w:val="18"/>
              </w:rPr>
              <w:t>Test-bed hypotheses H1/H2, baseline regression, threshold sweep, exposure interpretation</w:t>
            </w:r>
          </w:p>
        </w:tc>
        <w:tc>
          <w:tcPr>
            <w:tcW w:type="dxa" w:w="3009"/>
          </w:tcPr>
          <w:p>
            <w:pPr>
              <w:spacing w:after="0" w:before="0"/>
              <w:jc w:val="left"/>
            </w:pPr>
            <w:r/>
            <w:r>
              <w:rPr>
                <w:rFonts w:ascii="Times New Roman" w:hAnsi="Times New Roman"/>
                <w:sz w:val="18"/>
              </w:rPr>
              <w:t>S17, Tables S10–S11</w:t>
            </w:r>
          </w:p>
        </w:tc>
        <w:tc>
          <w:tcPr>
            <w:tcW w:type="dxa" w:w="3009"/>
          </w:tcPr>
          <w:p>
            <w:pPr>
              <w:spacing w:after="0" w:before="0"/>
              <w:jc w:val="left"/>
            </w:pPr>
            <w:r/>
            <w:r>
              <w:rPr>
                <w:rFonts w:ascii="Times New Roman" w:hAnsi="Times New Roman"/>
                <w:sz w:val="18"/>
              </w:rPr>
              <w:t>Sections 2.2, 3.2</w:t>
            </w:r>
          </w:p>
        </w:tc>
      </w:tr>
      <w:tr>
        <w:tc>
          <w:tcPr>
            <w:tcW w:type="dxa" w:w="3009"/>
          </w:tcPr>
          <w:p>
            <w:pPr>
              <w:spacing w:after="0" w:before="0"/>
              <w:jc w:val="left"/>
            </w:pPr>
            <w:r/>
            <w:r>
              <w:rPr>
                <w:rFonts w:ascii="Times New Roman" w:hAnsi="Times New Roman"/>
                <w:sz w:val="18"/>
              </w:rPr>
              <w:t>Registry triangulation and registry-error re-test</w:t>
            </w:r>
          </w:p>
        </w:tc>
        <w:tc>
          <w:tcPr>
            <w:tcW w:type="dxa" w:w="3009"/>
          </w:tcPr>
          <w:p>
            <w:pPr>
              <w:spacing w:after="0" w:before="0"/>
              <w:jc w:val="left"/>
            </w:pPr>
            <w:r/>
            <w:r>
              <w:rPr>
                <w:rFonts w:ascii="Times New Roman" w:hAnsi="Times New Roman"/>
                <w:sz w:val="18"/>
              </w:rPr>
              <w:t>S3, S18</w:t>
            </w:r>
          </w:p>
        </w:tc>
        <w:tc>
          <w:tcPr>
            <w:tcW w:type="dxa" w:w="3009"/>
          </w:tcPr>
          <w:p>
            <w:pPr>
              <w:spacing w:after="0" w:before="0"/>
              <w:jc w:val="left"/>
            </w:pPr>
            <w:r/>
            <w:r>
              <w:rPr>
                <w:rFonts w:ascii="Times New Roman" w:hAnsi="Times New Roman"/>
                <w:sz w:val="18"/>
              </w:rPr>
              <w:t>Sections 2.2, 3.2</w:t>
            </w:r>
          </w:p>
        </w:tc>
      </w:tr>
      <w:tr>
        <w:tc>
          <w:tcPr>
            <w:tcW w:type="dxa" w:w="3009"/>
          </w:tcPr>
          <w:p>
            <w:pPr>
              <w:spacing w:after="0" w:before="0"/>
              <w:jc w:val="left"/>
            </w:pPr>
            <w:r/>
            <w:r>
              <w:rPr>
                <w:rFonts w:ascii="Times New Roman" w:hAnsi="Times New Roman"/>
                <w:sz w:val="18"/>
              </w:rPr>
              <w:t>Equivalence tests (model-based and bootstrap)</w:t>
            </w:r>
          </w:p>
        </w:tc>
        <w:tc>
          <w:tcPr>
            <w:tcW w:type="dxa" w:w="3009"/>
          </w:tcPr>
          <w:p>
            <w:pPr>
              <w:spacing w:after="0" w:before="0"/>
              <w:jc w:val="left"/>
            </w:pPr>
            <w:r/>
            <w:r>
              <w:rPr>
                <w:rFonts w:ascii="Times New Roman" w:hAnsi="Times New Roman"/>
                <w:sz w:val="18"/>
              </w:rPr>
              <w:t>S5</w:t>
            </w:r>
          </w:p>
        </w:tc>
        <w:tc>
          <w:tcPr>
            <w:tcW w:type="dxa" w:w="3009"/>
          </w:tcPr>
          <w:p>
            <w:pPr>
              <w:spacing w:after="0" w:before="0"/>
              <w:jc w:val="left"/>
            </w:pPr>
            <w:r/>
            <w:r>
              <w:rPr>
                <w:rFonts w:ascii="Times New Roman" w:hAnsi="Times New Roman"/>
                <w:sz w:val="18"/>
              </w:rPr>
              <w:t>Sections 2.3, 3.2, 3.3</w:t>
            </w:r>
          </w:p>
        </w:tc>
      </w:tr>
      <w:tr>
        <w:tc>
          <w:tcPr>
            <w:tcW w:type="dxa" w:w="3009"/>
          </w:tcPr>
          <w:p>
            <w:pPr>
              <w:spacing w:after="0" w:before="0"/>
              <w:jc w:val="left"/>
            </w:pPr>
            <w:r/>
            <w:r>
              <w:rPr>
                <w:rFonts w:ascii="Times New Roman" w:hAnsi="Times New Roman"/>
                <w:sz w:val="18"/>
              </w:rPr>
              <w:t>Prior power of the permutation standard</w:t>
            </w:r>
          </w:p>
        </w:tc>
        <w:tc>
          <w:tcPr>
            <w:tcW w:type="dxa" w:w="3009"/>
          </w:tcPr>
          <w:p>
            <w:pPr>
              <w:spacing w:after="0" w:before="0"/>
              <w:jc w:val="left"/>
            </w:pPr>
            <w:r/>
            <w:r>
              <w:rPr>
                <w:rFonts w:ascii="Times New Roman" w:hAnsi="Times New Roman"/>
                <w:sz w:val="18"/>
              </w:rPr>
              <w:t>S6</w:t>
            </w:r>
          </w:p>
        </w:tc>
        <w:tc>
          <w:tcPr>
            <w:tcW w:type="dxa" w:w="3009"/>
          </w:tcPr>
          <w:p>
            <w:pPr>
              <w:spacing w:after="0" w:before="0"/>
              <w:jc w:val="left"/>
            </w:pPr>
            <w:r/>
            <w:r>
              <w:rPr>
                <w:rFonts w:ascii="Times New Roman" w:hAnsi="Times New Roman"/>
                <w:sz w:val="18"/>
              </w:rPr>
              <w:t>Section 3.3</w:t>
            </w:r>
          </w:p>
        </w:tc>
      </w:tr>
      <w:tr>
        <w:tc>
          <w:tcPr>
            <w:tcW w:type="dxa" w:w="3009"/>
          </w:tcPr>
          <w:p>
            <w:pPr>
              <w:spacing w:after="0" w:before="0"/>
              <w:jc w:val="left"/>
            </w:pPr>
            <w:r/>
            <w:r>
              <w:rPr>
                <w:rFonts w:ascii="Times New Roman" w:hAnsi="Times New Roman"/>
                <w:sz w:val="18"/>
              </w:rPr>
              <w:t>Consortium caps, fractional counting, joint perturbation</w:t>
            </w:r>
          </w:p>
        </w:tc>
        <w:tc>
          <w:tcPr>
            <w:tcW w:type="dxa" w:w="3009"/>
          </w:tcPr>
          <w:p>
            <w:pPr>
              <w:spacing w:after="0" w:before="0"/>
              <w:jc w:val="left"/>
            </w:pPr>
            <w:r/>
            <w:r>
              <w:rPr>
                <w:rFonts w:ascii="Times New Roman" w:hAnsi="Times New Roman"/>
                <w:sz w:val="18"/>
              </w:rPr>
              <w:t>S4, S7, Tables S1, S4</w:t>
            </w:r>
          </w:p>
        </w:tc>
        <w:tc>
          <w:tcPr>
            <w:tcW w:type="dxa" w:w="3009"/>
          </w:tcPr>
          <w:p>
            <w:pPr>
              <w:spacing w:after="0" w:before="0"/>
              <w:jc w:val="left"/>
            </w:pPr>
            <w:r/>
            <w:r>
              <w:rPr>
                <w:rFonts w:ascii="Times New Roman" w:hAnsi="Times New Roman"/>
                <w:sz w:val="18"/>
              </w:rPr>
              <w:t>Section 3.3, Figure 2</w:t>
            </w:r>
          </w:p>
        </w:tc>
      </w:tr>
      <w:tr>
        <w:tc>
          <w:tcPr>
            <w:tcW w:type="dxa" w:w="3009"/>
          </w:tcPr>
          <w:p>
            <w:pPr>
              <w:spacing w:after="0" w:before="0"/>
              <w:jc w:val="left"/>
            </w:pPr>
            <w:r/>
            <w:r>
              <w:rPr>
                <w:rFonts w:ascii="Times New Roman" w:hAnsi="Times New Roman"/>
                <w:sz w:val="18"/>
              </w:rPr>
              <w:t>Checks 1, 3–8, 10, 12 (VIF, leave-one-park-out, productivity, permutations, betweenness, geocoding, misclassification simulation, zero mass)</w:t>
            </w:r>
          </w:p>
        </w:tc>
        <w:tc>
          <w:tcPr>
            <w:tcW w:type="dxa" w:w="3009"/>
          </w:tcPr>
          <w:p>
            <w:pPr>
              <w:spacing w:after="0" w:before="0"/>
              <w:jc w:val="left"/>
            </w:pPr>
            <w:r/>
            <w:r>
              <w:rPr>
                <w:rFonts w:ascii="Times New Roman" w:hAnsi="Times New Roman"/>
                <w:sz w:val="18"/>
              </w:rPr>
              <w:t>S8–S11, S18</w:t>
            </w:r>
          </w:p>
        </w:tc>
        <w:tc>
          <w:tcPr>
            <w:tcW w:type="dxa" w:w="3009"/>
          </w:tcPr>
          <w:p>
            <w:pPr>
              <w:spacing w:after="0" w:before="0"/>
              <w:jc w:val="left"/>
            </w:pPr>
            <w:r/>
            <w:r>
              <w:rPr>
                <w:rFonts w:ascii="Times New Roman" w:hAnsi="Times New Roman"/>
                <w:sz w:val="18"/>
              </w:rPr>
              <w:t>Sections 2.1, 3.2, 3.3, 4</w:t>
            </w:r>
          </w:p>
        </w:tc>
      </w:tr>
      <w:tr>
        <w:tc>
          <w:tcPr>
            <w:tcW w:type="dxa" w:w="3009"/>
          </w:tcPr>
          <w:p>
            <w:pPr>
              <w:spacing w:after="0" w:before="0"/>
              <w:jc w:val="left"/>
            </w:pPr>
            <w:r/>
            <w:r>
              <w:rPr>
                <w:rFonts w:ascii="Times New Roman" w:hAnsi="Times New Roman"/>
                <w:sz w:val="18"/>
              </w:rPr>
              <w:t>Node- and edge-identity audits; record-to-entity aggregation</w:t>
            </w:r>
          </w:p>
        </w:tc>
        <w:tc>
          <w:tcPr>
            <w:tcW w:type="dxa" w:w="3009"/>
          </w:tcPr>
          <w:p>
            <w:pPr>
              <w:spacing w:after="0" w:before="0"/>
              <w:jc w:val="left"/>
            </w:pPr>
            <w:r/>
            <w:r>
              <w:rPr>
                <w:rFonts w:ascii="Times New Roman" w:hAnsi="Times New Roman"/>
                <w:sz w:val="18"/>
              </w:rPr>
              <w:t>S1, S12, S13</w:t>
            </w:r>
          </w:p>
        </w:tc>
        <w:tc>
          <w:tcPr>
            <w:tcW w:type="dxa" w:w="3009"/>
          </w:tcPr>
          <w:p>
            <w:pPr>
              <w:spacing w:after="0" w:before="0"/>
              <w:jc w:val="left"/>
            </w:pPr>
            <w:r/>
            <w:r>
              <w:rPr>
                <w:rFonts w:ascii="Times New Roman" w:hAnsi="Times New Roman"/>
                <w:sz w:val="18"/>
              </w:rPr>
              <w:t>Sections 3.1, 4</w:t>
            </w:r>
          </w:p>
        </w:tc>
      </w:tr>
      <w:tr>
        <w:tc>
          <w:tcPr>
            <w:tcW w:type="dxa" w:w="3009"/>
          </w:tcPr>
          <w:p>
            <w:pPr>
              <w:spacing w:after="0" w:before="0"/>
              <w:jc w:val="left"/>
            </w:pPr>
            <w:r/>
            <w:r>
              <w:rPr>
                <w:rFonts w:ascii="Times New Roman" w:hAnsi="Times New Roman"/>
                <w:sz w:val="18"/>
              </w:rPr>
              <w:t>Park classification, Method B, radius and vintage audit</w:t>
            </w:r>
          </w:p>
        </w:tc>
        <w:tc>
          <w:tcPr>
            <w:tcW w:type="dxa" w:w="3009"/>
          </w:tcPr>
          <w:p>
            <w:pPr>
              <w:spacing w:after="0" w:before="0"/>
              <w:jc w:val="left"/>
            </w:pPr>
            <w:r/>
            <w:r>
              <w:rPr>
                <w:rFonts w:ascii="Times New Roman" w:hAnsi="Times New Roman"/>
                <w:sz w:val="18"/>
              </w:rPr>
              <w:t>S12</w:t>
            </w:r>
          </w:p>
        </w:tc>
        <w:tc>
          <w:tcPr>
            <w:tcW w:type="dxa" w:w="3009"/>
          </w:tcPr>
          <w:p>
            <w:pPr>
              <w:spacing w:after="0" w:before="0"/>
              <w:jc w:val="left"/>
            </w:pPr>
            <w:r/>
            <w:r>
              <w:rPr>
                <w:rFonts w:ascii="Times New Roman" w:hAnsi="Times New Roman"/>
                <w:sz w:val="18"/>
              </w:rPr>
              <w:t>Section 2.2</w:t>
            </w:r>
          </w:p>
        </w:tc>
      </w:tr>
      <w:tr>
        <w:tc>
          <w:tcPr>
            <w:tcW w:type="dxa" w:w="3009"/>
          </w:tcPr>
          <w:p>
            <w:pPr>
              <w:spacing w:after="0" w:before="0"/>
              <w:jc w:val="left"/>
            </w:pPr>
            <w:r/>
            <w:r>
              <w:rPr>
                <w:rFonts w:ascii="Times New Roman" w:hAnsi="Times New Roman"/>
                <w:sz w:val="18"/>
              </w:rPr>
              <w:t>Pilot sample-size comparison</w:t>
            </w:r>
          </w:p>
        </w:tc>
        <w:tc>
          <w:tcPr>
            <w:tcW w:type="dxa" w:w="3009"/>
          </w:tcPr>
          <w:p>
            <w:pPr>
              <w:spacing w:after="0" w:before="0"/>
              <w:jc w:val="left"/>
            </w:pPr>
            <w:r/>
            <w:r>
              <w:rPr>
                <w:rFonts w:ascii="Times New Roman" w:hAnsi="Times New Roman"/>
                <w:sz w:val="18"/>
              </w:rPr>
              <w:t>S2</w:t>
            </w:r>
          </w:p>
        </w:tc>
        <w:tc>
          <w:tcPr>
            <w:tcW w:type="dxa" w:w="3009"/>
          </w:tcPr>
          <w:p>
            <w:pPr>
              <w:spacing w:after="0" w:before="0"/>
              <w:jc w:val="left"/>
            </w:pPr>
            <w:r/>
            <w:r>
              <w:rPr>
                <w:rFonts w:ascii="Times New Roman" w:hAnsi="Times New Roman"/>
                <w:sz w:val="18"/>
              </w:rPr>
              <w:t>Section 2.1</w:t>
            </w:r>
          </w:p>
        </w:tc>
      </w:tr>
      <w:tr>
        <w:tc>
          <w:tcPr>
            <w:tcW w:type="dxa" w:w="3009"/>
          </w:tcPr>
          <w:p>
            <w:pPr>
              <w:spacing w:after="0" w:before="0"/>
              <w:jc w:val="left"/>
            </w:pPr>
            <w:r/>
            <w:r>
              <w:rPr>
                <w:rFonts w:ascii="Times New Roman" w:hAnsi="Times New Roman"/>
                <w:sz w:val="18"/>
              </w:rPr>
              <w:t>Cross-field probe and scale-matched benchmark</w:t>
            </w:r>
          </w:p>
        </w:tc>
        <w:tc>
          <w:tcPr>
            <w:tcW w:type="dxa" w:w="3009"/>
          </w:tcPr>
          <w:p>
            <w:pPr>
              <w:spacing w:after="0" w:before="0"/>
              <w:jc w:val="left"/>
            </w:pPr>
            <w:r/>
            <w:r>
              <w:rPr>
                <w:rFonts w:ascii="Times New Roman" w:hAnsi="Times New Roman"/>
                <w:sz w:val="18"/>
              </w:rPr>
              <w:t>S15, S19, S21, Table S12</w:t>
            </w:r>
          </w:p>
        </w:tc>
        <w:tc>
          <w:tcPr>
            <w:tcW w:type="dxa" w:w="3009"/>
          </w:tcPr>
          <w:p>
            <w:pPr>
              <w:spacing w:after="0" w:before="0"/>
              <w:jc w:val="left"/>
            </w:pPr>
            <w:r/>
            <w:r>
              <w:rPr>
                <w:rFonts w:ascii="Times New Roman" w:hAnsi="Times New Roman"/>
                <w:sz w:val="18"/>
              </w:rPr>
              <w:t>Section 3.4</w:t>
            </w:r>
          </w:p>
        </w:tc>
      </w:tr>
      <w:tr>
        <w:tc>
          <w:tcPr>
            <w:tcW w:type="dxa" w:w="3009"/>
          </w:tcPr>
          <w:p>
            <w:pPr>
              <w:spacing w:after="0" w:before="0"/>
              <w:jc w:val="left"/>
            </w:pPr>
            <w:r/>
            <w:r>
              <w:rPr>
                <w:rFonts w:ascii="Times New Roman" w:hAnsi="Times New Roman"/>
                <w:sz w:val="18"/>
              </w:rPr>
              <w:t>Computational environment and seeds</w:t>
            </w:r>
          </w:p>
        </w:tc>
        <w:tc>
          <w:tcPr>
            <w:tcW w:type="dxa" w:w="3009"/>
          </w:tcPr>
          <w:p>
            <w:pPr>
              <w:spacing w:after="0" w:before="0"/>
              <w:jc w:val="left"/>
            </w:pPr>
            <w:r/>
            <w:r>
              <w:rPr>
                <w:rFonts w:ascii="Times New Roman" w:hAnsi="Times New Roman"/>
                <w:sz w:val="18"/>
              </w:rPr>
              <w:t>S14</w:t>
            </w:r>
          </w:p>
        </w:tc>
        <w:tc>
          <w:tcPr>
            <w:tcW w:type="dxa" w:w="3009"/>
          </w:tcPr>
          <w:p>
            <w:pPr>
              <w:spacing w:after="0" w:before="0"/>
              <w:jc w:val="left"/>
            </w:pPr>
            <w:r/>
            <w:r>
              <w:rPr>
                <w:rFonts w:ascii="Times New Roman" w:hAnsi="Times New Roman"/>
                <w:sz w:val="18"/>
              </w:rPr>
              <w:t>Section 2.3</w:t>
            </w:r>
          </w:p>
        </w:tc>
      </w:tr>
      <w:tr>
        <w:tc>
          <w:tcPr>
            <w:tcW w:type="dxa" w:w="3009"/>
          </w:tcPr>
          <w:p>
            <w:pPr>
              <w:spacing w:after="0" w:before="0"/>
              <w:jc w:val="left"/>
            </w:pPr>
            <w:r/>
            <w:r>
              <w:rPr>
                <w:rFonts w:ascii="Times New Roman" w:hAnsi="Times New Roman"/>
                <w:sz w:val="18"/>
              </w:rPr>
              <w:t>Placebo exclusion, covariate attenuation, geography of hyperauthored works</w:t>
            </w:r>
          </w:p>
        </w:tc>
        <w:tc>
          <w:tcPr>
            <w:tcW w:type="dxa" w:w="3009"/>
          </w:tcPr>
          <w:p>
            <w:pPr>
              <w:spacing w:after="0" w:before="0"/>
              <w:jc w:val="left"/>
            </w:pPr>
            <w:r/>
            <w:r>
              <w:rPr>
                <w:rFonts w:ascii="Times New Roman" w:hAnsi="Times New Roman"/>
                <w:sz w:val="18"/>
              </w:rPr>
              <w:t>S20</w:t>
            </w:r>
          </w:p>
        </w:tc>
        <w:tc>
          <w:tcPr>
            <w:tcW w:type="dxa" w:w="3009"/>
          </w:tcPr>
          <w:p>
            <w:pPr>
              <w:spacing w:after="0" w:before="0"/>
              <w:jc w:val="left"/>
            </w:pPr>
            <w:r/>
            <w:r>
              <w:rPr>
                <w:rFonts w:ascii="Times New Roman" w:hAnsi="Times New Roman"/>
                <w:sz w:val="18"/>
              </w:rPr>
              <w:t>Section 3.3, Figure 2</w:t>
            </w:r>
          </w:p>
        </w:tc>
      </w:tr>
      <w:tr>
        <w:tc>
          <w:tcPr>
            <w:tcW w:type="dxa" w:w="3009"/>
          </w:tcPr>
          <w:p>
            <w:pPr>
              <w:spacing w:after="0" w:before="0"/>
              <w:jc w:val="left"/>
            </w:pPr>
            <w:r/>
            <w:r>
              <w:rPr>
                <w:rFonts w:ascii="Times New Roman" w:hAnsi="Times New Roman"/>
                <w:sz w:val="18"/>
              </w:rPr>
              <w:t>Permutation-null diagnostics, exchangeability variants, park-level clustering, sandwich SEs</w:t>
            </w:r>
          </w:p>
        </w:tc>
        <w:tc>
          <w:tcPr>
            <w:tcW w:type="dxa" w:w="3009"/>
          </w:tcPr>
          <w:p>
            <w:pPr>
              <w:spacing w:after="0" w:before="0"/>
              <w:jc w:val="left"/>
            </w:pPr>
            <w:r/>
            <w:r>
              <w:rPr>
                <w:rFonts w:ascii="Times New Roman" w:hAnsi="Times New Roman"/>
                <w:sz w:val="18"/>
              </w:rPr>
              <w:t>S22, Figure S1</w:t>
            </w:r>
          </w:p>
        </w:tc>
        <w:tc>
          <w:tcPr>
            <w:tcW w:type="dxa" w:w="3009"/>
          </w:tcPr>
          <w:p>
            <w:pPr>
              <w:spacing w:after="0" w:before="0"/>
              <w:jc w:val="left"/>
            </w:pPr>
            <w:r/>
            <w:r>
              <w:rPr>
                <w:rFonts w:ascii="Times New Roman" w:hAnsi="Times New Roman"/>
                <w:sz w:val="18"/>
              </w:rPr>
              <w:t>Sections 2.3, 3.2, 3.3</w:t>
            </w:r>
          </w:p>
        </w:tc>
      </w:tr>
    </w:tbl>
    <w:p/>
    <w:p>
      <w:pPr>
        <w:spacing w:after="120"/>
      </w:pPr>
      <w:r>
        <w:rPr>
          <w:b w:val="0"/>
          <w:i w:val="0"/>
        </w:rPr>
        <w:t>Table S0. Where each analysis summarized in the main text is reported in this supplement.</w:t>
      </w:r>
    </w:p>
    <w:p>
      <w:pPr>
        <w:pStyle w:val="2"/>
      </w:pPr>
      <w:r>
        <w:rPr>
          <w:b w:val="0"/>
          <w:i w:val="0"/>
        </w:rPr>
        <w:t>S1 Entity resolution: full ROR audit</w:t>
      </w:r>
    </w:p>
    <w:p>
      <w:pPr/>
      <w:r>
        <w:rPr>
          <w:b w:val="0"/>
          <w:i w:val="0"/>
        </w:rPr>
        <w:t>Because this item has elsewhere been described by authorship counts rather than by work counts, I state the population explicitly. Every figure in this section, the 96.9% ROR coverage denominator and the 0.33% residual fragmentation rate alike, is computed on the 5,000-work pilot extraction and its 26,949 author–paper authorships. It is not computed on the 54,671-work full population used for the estimates reported in the main text. Neither figure is a full-population quantity. The audit examined whether reliance on OpenAlex's own standardized-institution field leaves meaningful residual fragmentation. That field is an automated disambiguation product, not a manually verified ground truth. I re-queried OpenAlex for each authorship's Research Organization Registry (ROR) identifier, a separate and more rigorously curated institutional identifier, and cross-tabulated it against the display-name string actually used to build network nodes. Of the 26,949 authorships in the pilot extraction, the ROR re-fetch matched at least one ROR-linked institution for 26,106 (96.9%). The residual 3.1% covers authorships where the institutions field returned empty at re-fetch time, or where the paper could not be exactly re-matched. I could not include them, and they remain a small blind spot rather than a resolved one. Extending the audit to them would require exact reproduction of the original extraction's cursor state. I then restricted the check to the 21,529 single-institution authorships with a valid ROR link, excluding multi-institution authorships from this specific check. Only 3 of 1,810 distinct ROR identifiers, spanning 6 of 1,811 distinct display-name strings, were split across more than one network node purely through naming-convention differences (for example "The University of Sydney" against "University of Sydney"). At most 0.33% of entity-resolved nodes are therefore affected by this failure mode. A single-institution authorship contributes no edge to the co-affiliation network, so the figure does not cover the multi-institution, edge-generating authorships that determine degree. S13 reports the full-population, edge-network audit that does apply. The reverse check surfaced two display-name strings ("Institute of Microelectronics" and "Northeastern University") that each map to more than one distinct ROR identifier. These are genuinely different institutions sharing a generic or ambiguous name. The pipeline treats them as single nodes, so they represent the opposite failure mode, under-splitting. I flag them for manual review rather than resolve them.</w:t>
      </w:r>
    </w:p>
    <w:p>
      <w:pPr>
        <w:pStyle w:val="2"/>
      </w:pPr>
      <w:r>
        <w:rPr>
          <w:b w:val="0"/>
          <w:i w:val="0"/>
        </w:rPr>
        <w:t>S2 The 5,000-work pilot as a designed sample-size comparison</w:t>
      </w:r>
    </w:p>
    <w:p>
      <w:pPr/>
      <w:r>
        <w:rPr>
          <w:b w:val="0"/>
          <w:i w:val="0"/>
        </w:rPr>
        <w:t>I designed the analysis on the full available population of OpenAlex Topic T10361. I raised the extraction cap well beyond the topic's known size and retrieved by cursor pagination until the cursor was exhausted, which yields 54,671 works. That is a small and expected drift from the 55,125-work count obtained at initial screening (76,915 works across all years), consistent with routine OpenAlex updates between screening and extraction. Because this is the full available population rather than a sample drawn from it, no separate year-distribution randomness check is required. As a designed sample-size comparison, I also analysed in full a 5,000-work cursor-paginated pilot. It covers 9.1% of the works matching the same topic-and-year filter, and it is skewed toward earlier publication years because OpenAlex's default cursor order is not randomized. A corrected random-sampling extraction confirmed that the skew is an artefact of cursor pagination rather than a feature of the topic. Geocoding succeeded for 90.7% of the pilot's strings against 86.6% at full scale, a decline consistent with a larger and more heterogeneous address pool rather than a change of method. The pilot's naive-to-resolved node ratio was 3.9:1 (10,404:2,663) against 9.6:1 at full scale. It contained 85 park-affiliated institutions of 2,595 at the primary 2,000 m specification, against 187 of 7,886 at full scale. The pilot recovered the same effect direction and a comparable standardized effect size at every stage, but reached conventional significance at fewer of them. Its entity-resolved bivariate test, its label-permutation test, and its density-controlled coefficient were all non-significant where the full population's are significant. Its productivity-controlled park coefficient fell to IRR 1.00 (p = .987) where the full population gives 1.13. What changes between the two is statistical power and the severity of node-identity contamination. The one exception is the productivity-controlled coefficient, which moves from 1.00 to 1.13.</w:t>
      </w:r>
    </w:p>
    <w:p>
      <w:pPr>
        <w:pStyle w:val="2"/>
      </w:pPr>
      <w:r>
        <w:rPr>
          <w:b w:val="0"/>
          <w:i w:val="0"/>
        </w:rPr>
        <w:t>S3 Ground-truth registry quality: full triangulation</w:t>
      </w:r>
    </w:p>
    <w:p>
      <w:pPr/>
      <w:r>
        <w:rPr>
          <w:b w:val="0"/>
          <w:i w:val="0"/>
        </w:rPr>
        <w:t>Wikidata's park coverage, while curated, is not necessarily complete or geographically even. To assess this directly, I manually triangulated the ten most-matched parks in the pilot sample against independent, authoritative sources: national government science-park administrations, industry associations, or founding and incorporation records. At full-population scale these ten parks account for 1,302 of 2,491 matched records (52.3%). Longhua Science and Technology Park (97 matched records) and Barcelona Biomedical Research Park (72) now rank among the most-matched. These two parks were not part of the original triangulation and have not been independently verified, a limitation flagged here rather than absorbed into the ten-park figure. Five of the ten are confirmed by unambiguous national-government designation: Hsinchu Science Park, Tsukuba Science City, Singapore Science Park, TusPark, and Zhongguancun (859 of 2,491 matched records, 34.5%). The confirming sources are Taiwan's National Science and Technology Council, a 1970 Japanese national law, Singapore's JTC statutory board, and China's Ministry of Science and Technology Torch Program. A further three (University City Science Center, Linköping Science Park, and the TU Delft Campus; 281 records, 11.3%) are confirmed as genuine, operating parks through nonprofit incorporation records, industry-association membership, or university administration. The remaining two surfaced discrepancies between the static Wikidata classification and each park's real-world status. The Australian Technology Park (95 records, 3.8%) was formally renamed "South Eveleigh" and redeveloped into general commercial office space from 2019. Institutions nearby are therefore credited with proximity to a park that had ceased to operate as one for much of the study period. The Freiburger Innovationszentrum (67 records, 2.7%) did not open until September 2022, so any work published before that date could not have been proximate to an operating park at the relevant time. Together these two cases account for 6.5% of matched records, and for 162 of the 1,302 audited matched records (12.4%). They indicate that Wikidata-based ground truth requires source-by-source triangulation before individual matches are treated as current and temporally valid. I re-tested their impact directly as check 8 (S18). I did not attempt the same triangulation for the remaining 1,020 matched records (40.9%), which are spread across 98 lower-frequency parks.</w:t>
      </w:r>
    </w:p>
    <w:p>
      <w:pPr>
        <w:pStyle w:val="2"/>
      </w:pPr>
      <w:r>
        <w:rPr>
          <w:b w:val="0"/>
          <w:i w:val="0"/>
        </w:rPr>
        <w:t>S4 Hyperauthorship exclusion across four institution-count caps</w:t>
      </w:r>
    </w:p>
    <w:p>
      <w:pPr/>
      <w:r>
        <w:rPr>
          <w:b w:val="0"/>
          <w:i w:val="0"/>
        </w:rPr>
        <w:t>Check 9 requires the network to be rebuilt above multiple exclusion caps, with the primary regression re-estimated at each. Table S1 reports every cap together with the fractional-counting and joint-perturbation rows plotted as Figure 2 in the main text. It also adds the share of the network's pairwise tie-instances contributed by the excluded works: 36.5% at the ≥ 6 cap, 23.2% at ≥ 8, 17.4% at ≥ 10, and 10.1% at ≥ 15, against 2.15%, 0.67%, 0.33%, and 0.09% of works. The terminal verdict does not depend on the choice of cap, because no cap yields a park coefficient that meets the permutation standard. The last three rows of Table S1 repeat the exercise at the pre-specified 2,000 m threshold with the 2,000 m density covariate of the same retrieval vintage (S12). The full-sample coefficient there already falls short of the standard, and the ≥ 10 cap and fractional counting remove 69% and 95% of its log-effect. For each cap and for fractional counting, Table S1 also reports the paired institution-bootstrap interval of the log-IRR reduction. I drew 1,000 resamples of the 7,886 institutions and fitted the full and the rebuilt model to the same resample. Both fits converged in 993 of them. Every cap's reduction has an interval excluding zero (≥ 6: 0.01–0.22; ≥ 10: 0.03–0.19; ≥ 15: 0.01–0.14). The share expressed as a ratio has a wide interval, because its denominator is itself uncertain (≥ 10 cap: interquartile range 34–75%). The ≥ 10 cap also drops the 275 institutions that appear only in works with ten or more institutions, 25 of them treated (5.0% of the treated arm against 3.4% of controls; mean degree 27.8 against 20.0). The placebo exclusions of S20 share that selection component. The placebo benchmark for these exclusions is in S20.</w:t>
      </w:r>
    </w:p>
    <w:tbl>
      <w:tblPr>
        <w:tblW w:type="auto" w:w="0"/>
        <w:tblLayout w:type="autofit"/>
        <w:tblLook w:firstColumn="1" w:firstRow="1" w:lastColumn="0" w:lastRow="0" w:noHBand="0" w:noVBand="1" w:val="04A0"/>
        <w:tblBorders>
          <w:top w:val="single" w:sz="4" w:space="0" w:color="000000"/>
          <w:bottom w:val="single" w:sz="4" w:space="0" w:color="000000"/>
          <w:insideH w:val="single" w:sz="4" w:space="0" w:color="000000"/>
          <w:left w:val="nil"/>
          <w:right w:val="nil"/>
          <w:insideV w:val="nil"/>
        </w:tblBorders>
      </w:tblPr>
      <w:tblGrid>
        <w:gridCol w:w="903"/>
        <w:gridCol w:w="903"/>
        <w:gridCol w:w="903"/>
        <w:gridCol w:w="903"/>
        <w:gridCol w:w="903"/>
        <w:gridCol w:w="903"/>
        <w:gridCol w:w="903"/>
        <w:gridCol w:w="903"/>
        <w:gridCol w:w="903"/>
        <w:gridCol w:w="903"/>
      </w:tblGrid>
      <w:tr>
        <w:tc>
          <w:tcPr>
            <w:tcW w:type="dxa" w:w="903"/>
          </w:tcPr>
          <w:p>
            <w:pPr>
              <w:spacing w:after="0" w:before="0"/>
              <w:jc w:val="left"/>
            </w:pPr>
            <w:r/>
            <w:r>
              <w:rPr>
                <w:rFonts w:ascii="Times New Roman" w:hAnsi="Times New Roman"/>
                <w:b/>
                <w:sz w:val="16"/>
              </w:rPr>
              <w:t>Works excluded</w:t>
            </w:r>
          </w:p>
        </w:tc>
        <w:tc>
          <w:tcPr>
            <w:tcW w:type="dxa" w:w="903"/>
          </w:tcPr>
          <w:p>
            <w:pPr>
              <w:spacing w:after="0" w:before="0"/>
              <w:jc w:val="left"/>
            </w:pPr>
            <w:r/>
            <w:r>
              <w:rPr>
                <w:rFonts w:ascii="Times New Roman" w:hAnsi="Times New Roman"/>
                <w:b/>
                <w:sz w:val="16"/>
              </w:rPr>
              <w:t>n</w:t>
            </w:r>
          </w:p>
        </w:tc>
        <w:tc>
          <w:tcPr>
            <w:tcW w:type="dxa" w:w="903"/>
          </w:tcPr>
          <w:p>
            <w:pPr>
              <w:spacing w:after="0" w:before="0"/>
              <w:jc w:val="left"/>
            </w:pPr>
            <w:r/>
            <w:r>
              <w:rPr>
                <w:rFonts w:ascii="Times New Roman" w:hAnsi="Times New Roman"/>
                <w:b/>
                <w:sz w:val="16"/>
              </w:rPr>
              <w:t>Treated</w:t>
            </w:r>
          </w:p>
        </w:tc>
        <w:tc>
          <w:tcPr>
            <w:tcW w:type="dxa" w:w="903"/>
          </w:tcPr>
          <w:p>
            <w:pPr>
              <w:spacing w:after="0" w:before="0"/>
              <w:jc w:val="left"/>
            </w:pPr>
            <w:r/>
            <w:r>
              <w:rPr>
                <w:rFonts w:ascii="Times New Roman" w:hAnsi="Times New Roman"/>
                <w:b/>
                <w:sz w:val="16"/>
              </w:rPr>
              <w:t>IRR</w:t>
            </w:r>
          </w:p>
        </w:tc>
        <w:tc>
          <w:tcPr>
            <w:tcW w:type="dxa" w:w="903"/>
          </w:tcPr>
          <w:p>
            <w:pPr>
              <w:spacing w:after="0" w:before="0"/>
              <w:jc w:val="left"/>
            </w:pPr>
            <w:r/>
            <w:r>
              <w:rPr>
                <w:rFonts w:ascii="Times New Roman" w:hAnsi="Times New Roman"/>
                <w:b/>
                <w:sz w:val="16"/>
              </w:rPr>
              <w:t>95% CI</w:t>
            </w:r>
          </w:p>
        </w:tc>
        <w:tc>
          <w:tcPr>
            <w:tcW w:type="dxa" w:w="903"/>
          </w:tcPr>
          <w:p>
            <w:pPr>
              <w:spacing w:after="0" w:before="0"/>
              <w:jc w:val="left"/>
            </w:pPr>
            <w:r/>
            <w:r>
              <w:rPr>
                <w:rFonts w:ascii="Times New Roman" w:hAnsi="Times New Roman"/>
                <w:b/>
                <w:sz w:val="16"/>
              </w:rPr>
              <w:t>Model p</w:t>
            </w:r>
          </w:p>
        </w:tc>
        <w:tc>
          <w:tcPr>
            <w:tcW w:type="dxa" w:w="903"/>
          </w:tcPr>
          <w:p>
            <w:pPr>
              <w:spacing w:after="0" w:before="0"/>
              <w:jc w:val="left"/>
            </w:pPr>
            <w:r/>
            <w:r>
              <w:rPr>
                <w:rFonts w:ascii="Times New Roman" w:hAnsi="Times New Roman"/>
                <w:b/>
                <w:sz w:val="16"/>
              </w:rPr>
              <w:t>Permutation p</w:t>
            </w:r>
          </w:p>
        </w:tc>
        <w:tc>
          <w:tcPr>
            <w:tcW w:type="dxa" w:w="903"/>
          </w:tcPr>
          <w:p>
            <w:pPr>
              <w:spacing w:after="0" w:before="0"/>
              <w:jc w:val="left"/>
            </w:pPr>
            <w:r/>
            <w:r>
              <w:rPr>
                <w:rFonts w:ascii="Times New Roman" w:hAnsi="Times New Roman"/>
                <w:b/>
                <w:sz w:val="16"/>
              </w:rPr>
              <w:t>Log-effect removed</w:t>
            </w:r>
          </w:p>
        </w:tc>
        <w:tc>
          <w:tcPr>
            <w:tcW w:type="dxa" w:w="903"/>
          </w:tcPr>
          <w:p>
            <w:pPr>
              <w:spacing w:after="0" w:before="0"/>
              <w:jc w:val="left"/>
            </w:pPr>
            <w:r/>
            <w:r>
              <w:rPr>
                <w:rFonts w:ascii="Times New Roman" w:hAnsi="Times New Roman"/>
                <w:b/>
                <w:sz w:val="16"/>
              </w:rPr>
              <w:t>Log-IRR reduction [95% CI]</w:t>
            </w:r>
          </w:p>
        </w:tc>
        <w:tc>
          <w:tcPr>
            <w:tcW w:type="dxa" w:w="903"/>
          </w:tcPr>
          <w:p>
            <w:pPr>
              <w:spacing w:after="0" w:before="0"/>
              <w:jc w:val="left"/>
            </w:pPr>
            <w:r/>
            <w:r>
              <w:rPr>
                <w:rFonts w:ascii="Times New Roman" w:hAnsi="Times New Roman"/>
                <w:b/>
                <w:sz w:val="16"/>
              </w:rPr>
              <w:t>Share of tie-instances removed</w:t>
            </w:r>
          </w:p>
        </w:tc>
      </w:tr>
      <w:tr>
        <w:tc>
          <w:tcPr>
            <w:tcW w:type="dxa" w:w="903"/>
          </w:tcPr>
          <w:p>
            <w:pPr>
              <w:spacing w:after="0" w:before="0"/>
              <w:jc w:val="left"/>
            </w:pPr>
            <w:r/>
            <w:r>
              <w:rPr>
                <w:rFonts w:ascii="Times New Roman" w:hAnsi="Times New Roman"/>
                <w:sz w:val="16"/>
              </w:rPr>
              <w:t>none (full sample)</w:t>
            </w:r>
          </w:p>
        </w:tc>
        <w:tc>
          <w:tcPr>
            <w:tcW w:type="dxa" w:w="903"/>
          </w:tcPr>
          <w:p>
            <w:pPr>
              <w:spacing w:after="0" w:before="0"/>
              <w:jc w:val="left"/>
            </w:pPr>
            <w:r/>
            <w:r>
              <w:rPr>
                <w:rFonts w:ascii="Times New Roman" w:hAnsi="Times New Roman"/>
                <w:sz w:val="16"/>
              </w:rPr>
              <w:t>7,886</w:t>
            </w:r>
          </w:p>
        </w:tc>
        <w:tc>
          <w:tcPr>
            <w:tcW w:type="dxa" w:w="903"/>
          </w:tcPr>
          <w:p>
            <w:pPr>
              <w:spacing w:after="0" w:before="0"/>
              <w:jc w:val="left"/>
            </w:pPr>
            <w:r/>
            <w:r>
              <w:rPr>
                <w:rFonts w:ascii="Times New Roman" w:hAnsi="Times New Roman"/>
                <w:sz w:val="16"/>
              </w:rPr>
              <w:t>504</w:t>
            </w:r>
          </w:p>
        </w:tc>
        <w:tc>
          <w:tcPr>
            <w:tcW w:type="dxa" w:w="903"/>
          </w:tcPr>
          <w:p>
            <w:pPr>
              <w:spacing w:after="0" w:before="0"/>
              <w:jc w:val="left"/>
            </w:pPr>
            <w:r/>
            <w:r>
              <w:rPr>
                <w:rFonts w:ascii="Times New Roman" w:hAnsi="Times New Roman"/>
                <w:sz w:val="16"/>
              </w:rPr>
              <w:t>1.2348</w:t>
            </w:r>
          </w:p>
        </w:tc>
        <w:tc>
          <w:tcPr>
            <w:tcW w:type="dxa" w:w="903"/>
          </w:tcPr>
          <w:p>
            <w:pPr>
              <w:spacing w:after="0" w:before="0"/>
              <w:jc w:val="left"/>
            </w:pPr>
            <w:r/>
            <w:r>
              <w:rPr>
                <w:rFonts w:ascii="Times New Roman" w:hAnsi="Times New Roman"/>
                <w:sz w:val="16"/>
              </w:rPr>
              <w:t>[1.109, 1.375]</w:t>
            </w:r>
          </w:p>
        </w:tc>
        <w:tc>
          <w:tcPr>
            <w:tcW w:type="dxa" w:w="903"/>
          </w:tcPr>
          <w:p>
            <w:pPr>
              <w:spacing w:after="0" w:before="0"/>
              <w:jc w:val="left"/>
            </w:pPr>
            <w:r/>
            <w:r>
              <w:rPr>
                <w:rFonts w:ascii="Times New Roman" w:hAnsi="Times New Roman"/>
                <w:sz w:val="16"/>
              </w:rPr>
              <w:t>.00012</w:t>
            </w:r>
          </w:p>
        </w:tc>
        <w:tc>
          <w:tcPr>
            <w:tcW w:type="dxa" w:w="903"/>
          </w:tcPr>
          <w:p>
            <w:pPr>
              <w:spacing w:after="0" w:before="0"/>
              <w:jc w:val="left"/>
            </w:pPr>
            <w:r/>
            <w:r>
              <w:rPr>
                <w:rFonts w:ascii="Times New Roman" w:hAnsi="Times New Roman"/>
                <w:sz w:val="16"/>
              </w:rPr>
              <w:t>.0088</w:t>
            </w:r>
          </w:p>
        </w:tc>
        <w:tc>
          <w:tcPr>
            <w:tcW w:type="dxa" w:w="903"/>
          </w:tcPr>
          <w:p>
            <w:pPr>
              <w:spacing w:after="0" w:before="0"/>
              <w:jc w:val="left"/>
            </w:pPr>
            <w:r/>
            <w:r>
              <w:rPr>
                <w:rFonts w:ascii="Times New Roman" w:hAnsi="Times New Roman"/>
                <w:sz w:val="16"/>
              </w:rPr>
              <w:t>—</w:t>
            </w:r>
          </w:p>
        </w:tc>
        <w:tc>
          <w:tcPr>
            <w:tcW w:type="dxa" w:w="903"/>
          </w:tcPr>
          <w:p>
            <w:pPr>
              <w:spacing w:after="0" w:before="0"/>
              <w:jc w:val="left"/>
            </w:pPr>
            <w:r/>
            <w:r>
              <w:rPr>
                <w:rFonts w:ascii="Times New Roman" w:hAnsi="Times New Roman"/>
                <w:sz w:val="16"/>
              </w:rPr>
              <w:t>—</w:t>
            </w:r>
          </w:p>
        </w:tc>
        <w:tc>
          <w:tcPr>
            <w:tcW w:type="dxa" w:w="903"/>
          </w:tcPr>
          <w:p>
            <w:pPr>
              <w:spacing w:after="0" w:before="0"/>
              <w:jc w:val="left"/>
            </w:pPr>
            <w:r/>
            <w:r>
              <w:rPr>
                <w:rFonts w:ascii="Times New Roman" w:hAnsi="Times New Roman"/>
                <w:sz w:val="16"/>
              </w:rPr>
              <w:t>—</w:t>
            </w:r>
          </w:p>
        </w:tc>
      </w:tr>
      <w:tr>
        <w:tc>
          <w:tcPr>
            <w:tcW w:type="dxa" w:w="903"/>
          </w:tcPr>
          <w:p>
            <w:pPr>
              <w:spacing w:after="0" w:before="0"/>
              <w:jc w:val="left"/>
            </w:pPr>
            <w:r/>
            <w:r>
              <w:rPr>
                <w:rFonts w:ascii="Times New Roman" w:hAnsi="Times New Roman"/>
                <w:sz w:val="16"/>
              </w:rPr>
              <w:t>≥ 6 (2.15% of works)</w:t>
            </w:r>
          </w:p>
        </w:tc>
        <w:tc>
          <w:tcPr>
            <w:tcW w:type="dxa" w:w="903"/>
          </w:tcPr>
          <w:p>
            <w:pPr>
              <w:spacing w:after="0" w:before="0"/>
              <w:jc w:val="left"/>
            </w:pPr>
            <w:r/>
            <w:r>
              <w:rPr>
                <w:rFonts w:ascii="Times New Roman" w:hAnsi="Times New Roman"/>
                <w:sz w:val="16"/>
              </w:rPr>
              <w:t>7,147</w:t>
            </w:r>
          </w:p>
        </w:tc>
        <w:tc>
          <w:tcPr>
            <w:tcW w:type="dxa" w:w="903"/>
          </w:tcPr>
          <w:p>
            <w:pPr>
              <w:spacing w:after="0" w:before="0"/>
              <w:jc w:val="left"/>
            </w:pPr>
            <w:r/>
            <w:r>
              <w:rPr>
                <w:rFonts w:ascii="Times New Roman" w:hAnsi="Times New Roman"/>
                <w:sz w:val="16"/>
              </w:rPr>
              <w:t>448</w:t>
            </w:r>
          </w:p>
        </w:tc>
        <w:tc>
          <w:tcPr>
            <w:tcW w:type="dxa" w:w="903"/>
          </w:tcPr>
          <w:p>
            <w:pPr>
              <w:spacing w:after="0" w:before="0"/>
              <w:jc w:val="left"/>
            </w:pPr>
            <w:r/>
            <w:r>
              <w:rPr>
                <w:rFonts w:ascii="Times New Roman" w:hAnsi="Times New Roman"/>
                <w:sz w:val="16"/>
              </w:rPr>
              <w:t>1.1168</w:t>
            </w:r>
          </w:p>
        </w:tc>
        <w:tc>
          <w:tcPr>
            <w:tcW w:type="dxa" w:w="903"/>
          </w:tcPr>
          <w:p>
            <w:pPr>
              <w:spacing w:after="0" w:before="0"/>
              <w:jc w:val="left"/>
            </w:pPr>
            <w:r/>
            <w:r>
              <w:rPr>
                <w:rFonts w:ascii="Times New Roman" w:hAnsi="Times New Roman"/>
                <w:sz w:val="16"/>
              </w:rPr>
              <w:t>[1.000, 1.247]</w:t>
            </w:r>
          </w:p>
        </w:tc>
        <w:tc>
          <w:tcPr>
            <w:tcW w:type="dxa" w:w="903"/>
          </w:tcPr>
          <w:p>
            <w:pPr>
              <w:spacing w:after="0" w:before="0"/>
              <w:jc w:val="left"/>
            </w:pPr>
            <w:r/>
            <w:r>
              <w:rPr>
                <w:rFonts w:ascii="Times New Roman" w:hAnsi="Times New Roman"/>
                <w:sz w:val="16"/>
              </w:rPr>
              <w:t>.051</w:t>
            </w:r>
          </w:p>
        </w:tc>
        <w:tc>
          <w:tcPr>
            <w:tcW w:type="dxa" w:w="903"/>
          </w:tcPr>
          <w:p>
            <w:pPr>
              <w:spacing w:after="0" w:before="0"/>
              <w:jc w:val="left"/>
            </w:pPr>
            <w:r/>
            <w:r>
              <w:rPr>
                <w:rFonts w:ascii="Times New Roman" w:hAnsi="Times New Roman"/>
                <w:sz w:val="16"/>
              </w:rPr>
              <w:t>.199</w:t>
            </w:r>
          </w:p>
        </w:tc>
        <w:tc>
          <w:tcPr>
            <w:tcW w:type="dxa" w:w="903"/>
          </w:tcPr>
          <w:p>
            <w:pPr>
              <w:spacing w:after="0" w:before="0"/>
              <w:jc w:val="left"/>
            </w:pPr>
            <w:r/>
            <w:r>
              <w:rPr>
                <w:rFonts w:ascii="Times New Roman" w:hAnsi="Times New Roman"/>
                <w:sz w:val="16"/>
              </w:rPr>
              <w:t>47.6%</w:t>
            </w:r>
          </w:p>
        </w:tc>
        <w:tc>
          <w:tcPr>
            <w:tcW w:type="dxa" w:w="903"/>
          </w:tcPr>
          <w:p>
            <w:pPr>
              <w:spacing w:after="0" w:before="0"/>
              <w:jc w:val="left"/>
            </w:pPr>
            <w:r/>
            <w:r>
              <w:rPr>
                <w:rFonts w:ascii="Times New Roman" w:hAnsi="Times New Roman"/>
                <w:sz w:val="16"/>
              </w:rPr>
              <w:t>0.10 [0.01, 0.22]</w:t>
            </w:r>
          </w:p>
        </w:tc>
        <w:tc>
          <w:tcPr>
            <w:tcW w:type="dxa" w:w="903"/>
          </w:tcPr>
          <w:p>
            <w:pPr>
              <w:spacing w:after="0" w:before="0"/>
              <w:jc w:val="left"/>
            </w:pPr>
            <w:r/>
            <w:r>
              <w:rPr>
                <w:rFonts w:ascii="Times New Roman" w:hAnsi="Times New Roman"/>
                <w:sz w:val="16"/>
              </w:rPr>
              <w:t>36.5%</w:t>
            </w:r>
          </w:p>
        </w:tc>
      </w:tr>
      <w:tr>
        <w:tc>
          <w:tcPr>
            <w:tcW w:type="dxa" w:w="903"/>
          </w:tcPr>
          <w:p>
            <w:pPr>
              <w:spacing w:after="0" w:before="0"/>
              <w:jc w:val="left"/>
            </w:pPr>
            <w:r/>
            <w:r>
              <w:rPr>
                <w:rFonts w:ascii="Times New Roman" w:hAnsi="Times New Roman"/>
                <w:sz w:val="16"/>
              </w:rPr>
              <w:t>≥ 8 (0.67%)</w:t>
            </w:r>
          </w:p>
        </w:tc>
        <w:tc>
          <w:tcPr>
            <w:tcW w:type="dxa" w:w="903"/>
          </w:tcPr>
          <w:p>
            <w:pPr>
              <w:spacing w:after="0" w:before="0"/>
              <w:jc w:val="left"/>
            </w:pPr>
            <w:r/>
            <w:r>
              <w:rPr>
                <w:rFonts w:ascii="Times New Roman" w:hAnsi="Times New Roman"/>
                <w:sz w:val="16"/>
              </w:rPr>
              <w:t>7,501</w:t>
            </w:r>
          </w:p>
        </w:tc>
        <w:tc>
          <w:tcPr>
            <w:tcW w:type="dxa" w:w="903"/>
          </w:tcPr>
          <w:p>
            <w:pPr>
              <w:spacing w:after="0" w:before="0"/>
              <w:jc w:val="left"/>
            </w:pPr>
            <w:r/>
            <w:r>
              <w:rPr>
                <w:rFonts w:ascii="Times New Roman" w:hAnsi="Times New Roman"/>
                <w:sz w:val="16"/>
              </w:rPr>
              <w:t>471</w:t>
            </w:r>
          </w:p>
        </w:tc>
        <w:tc>
          <w:tcPr>
            <w:tcW w:type="dxa" w:w="903"/>
          </w:tcPr>
          <w:p>
            <w:pPr>
              <w:spacing w:after="0" w:before="0"/>
              <w:jc w:val="left"/>
            </w:pPr>
            <w:r/>
            <w:r>
              <w:rPr>
                <w:rFonts w:ascii="Times New Roman" w:hAnsi="Times New Roman"/>
                <w:sz w:val="16"/>
              </w:rPr>
              <w:t>1.1365</w:t>
            </w:r>
          </w:p>
        </w:tc>
        <w:tc>
          <w:tcPr>
            <w:tcW w:type="dxa" w:w="903"/>
          </w:tcPr>
          <w:p>
            <w:pPr>
              <w:spacing w:after="0" w:before="0"/>
              <w:jc w:val="left"/>
            </w:pPr>
            <w:r/>
            <w:r>
              <w:rPr>
                <w:rFonts w:ascii="Times New Roman" w:hAnsi="Times New Roman"/>
                <w:sz w:val="16"/>
              </w:rPr>
              <w:t>[1.020, 1.266]</w:t>
            </w:r>
          </w:p>
        </w:tc>
        <w:tc>
          <w:tcPr>
            <w:tcW w:type="dxa" w:w="903"/>
          </w:tcPr>
          <w:p>
            <w:pPr>
              <w:spacing w:after="0" w:before="0"/>
              <w:jc w:val="left"/>
            </w:pPr>
            <w:r/>
            <w:r>
              <w:rPr>
                <w:rFonts w:ascii="Times New Roman" w:hAnsi="Times New Roman"/>
                <w:sz w:val="16"/>
              </w:rPr>
              <w:t>.020</w:t>
            </w:r>
          </w:p>
        </w:tc>
        <w:tc>
          <w:tcPr>
            <w:tcW w:type="dxa" w:w="903"/>
          </w:tcPr>
          <w:p>
            <w:pPr>
              <w:spacing w:after="0" w:before="0"/>
              <w:jc w:val="left"/>
            </w:pPr>
            <w:r/>
            <w:r>
              <w:rPr>
                <w:rFonts w:ascii="Times New Roman" w:hAnsi="Times New Roman"/>
                <w:sz w:val="16"/>
              </w:rPr>
              <w:t>.135</w:t>
            </w:r>
          </w:p>
        </w:tc>
        <w:tc>
          <w:tcPr>
            <w:tcW w:type="dxa" w:w="903"/>
          </w:tcPr>
          <w:p>
            <w:pPr>
              <w:spacing w:after="0" w:before="0"/>
              <w:jc w:val="left"/>
            </w:pPr>
            <w:r/>
            <w:r>
              <w:rPr>
                <w:rFonts w:ascii="Times New Roman" w:hAnsi="Times New Roman"/>
                <w:sz w:val="16"/>
              </w:rPr>
              <w:t>39.3%</w:t>
            </w:r>
          </w:p>
        </w:tc>
        <w:tc>
          <w:tcPr>
            <w:tcW w:type="dxa" w:w="903"/>
          </w:tcPr>
          <w:p>
            <w:pPr>
              <w:spacing w:after="0" w:before="0"/>
              <w:jc w:val="left"/>
            </w:pPr>
            <w:r/>
            <w:r>
              <w:rPr>
                <w:rFonts w:ascii="Times New Roman" w:hAnsi="Times New Roman"/>
                <w:sz w:val="16"/>
              </w:rPr>
              <w:t>0.08 (not bootstrapped)</w:t>
            </w:r>
          </w:p>
        </w:tc>
        <w:tc>
          <w:tcPr>
            <w:tcW w:type="dxa" w:w="903"/>
          </w:tcPr>
          <w:p>
            <w:pPr>
              <w:spacing w:after="0" w:before="0"/>
              <w:jc w:val="left"/>
            </w:pPr>
            <w:r/>
            <w:r>
              <w:rPr>
                <w:rFonts w:ascii="Times New Roman" w:hAnsi="Times New Roman"/>
                <w:sz w:val="16"/>
              </w:rPr>
              <w:t>23.2%</w:t>
            </w:r>
          </w:p>
        </w:tc>
      </w:tr>
      <w:tr>
        <w:tc>
          <w:tcPr>
            <w:tcW w:type="dxa" w:w="903"/>
          </w:tcPr>
          <w:p>
            <w:pPr>
              <w:spacing w:after="0" w:before="0"/>
              <w:jc w:val="left"/>
            </w:pPr>
            <w:r/>
            <w:r>
              <w:rPr>
                <w:rFonts w:ascii="Times New Roman" w:hAnsi="Times New Roman"/>
                <w:sz w:val="16"/>
              </w:rPr>
              <w:t>≥ 10 (0.33%)</w:t>
            </w:r>
          </w:p>
        </w:tc>
        <w:tc>
          <w:tcPr>
            <w:tcW w:type="dxa" w:w="903"/>
          </w:tcPr>
          <w:p>
            <w:pPr>
              <w:spacing w:after="0" w:before="0"/>
              <w:jc w:val="left"/>
            </w:pPr>
            <w:r/>
            <w:r>
              <w:rPr>
                <w:rFonts w:ascii="Times New Roman" w:hAnsi="Times New Roman"/>
                <w:sz w:val="16"/>
              </w:rPr>
              <w:t>7,611</w:t>
            </w:r>
          </w:p>
        </w:tc>
        <w:tc>
          <w:tcPr>
            <w:tcW w:type="dxa" w:w="903"/>
          </w:tcPr>
          <w:p>
            <w:pPr>
              <w:spacing w:after="0" w:before="0"/>
              <w:jc w:val="left"/>
            </w:pPr>
            <w:r/>
            <w:r>
              <w:rPr>
                <w:rFonts w:ascii="Times New Roman" w:hAnsi="Times New Roman"/>
                <w:sz w:val="16"/>
              </w:rPr>
              <w:t>479</w:t>
            </w:r>
          </w:p>
        </w:tc>
        <w:tc>
          <w:tcPr>
            <w:tcW w:type="dxa" w:w="903"/>
          </w:tcPr>
          <w:p>
            <w:pPr>
              <w:spacing w:after="0" w:before="0"/>
              <w:jc w:val="left"/>
            </w:pPr>
            <w:r/>
            <w:r>
              <w:rPr>
                <w:rFonts w:ascii="Times New Roman" w:hAnsi="Times New Roman"/>
                <w:sz w:val="16"/>
              </w:rPr>
              <w:t>1.1145</w:t>
            </w:r>
          </w:p>
        </w:tc>
        <w:tc>
          <w:tcPr>
            <w:tcW w:type="dxa" w:w="903"/>
          </w:tcPr>
          <w:p>
            <w:pPr>
              <w:spacing w:after="0" w:before="0"/>
              <w:jc w:val="left"/>
            </w:pPr>
            <w:r/>
            <w:r>
              <w:rPr>
                <w:rFonts w:ascii="Times New Roman" w:hAnsi="Times New Roman"/>
                <w:sz w:val="16"/>
              </w:rPr>
              <w:t>[1.001, 1.241]</w:t>
            </w:r>
          </w:p>
        </w:tc>
        <w:tc>
          <w:tcPr>
            <w:tcW w:type="dxa" w:w="903"/>
          </w:tcPr>
          <w:p>
            <w:pPr>
              <w:spacing w:after="0" w:before="0"/>
              <w:jc w:val="left"/>
            </w:pPr>
            <w:r/>
            <w:r>
              <w:rPr>
                <w:rFonts w:ascii="Times New Roman" w:hAnsi="Times New Roman"/>
                <w:sz w:val="16"/>
              </w:rPr>
              <w:t>.048</w:t>
            </w:r>
          </w:p>
        </w:tc>
        <w:tc>
          <w:tcPr>
            <w:tcW w:type="dxa" w:w="903"/>
          </w:tcPr>
          <w:p>
            <w:pPr>
              <w:spacing w:after="0" w:before="0"/>
              <w:jc w:val="left"/>
            </w:pPr>
            <w:r/>
            <w:r>
              <w:rPr>
                <w:rFonts w:ascii="Times New Roman" w:hAnsi="Times New Roman"/>
                <w:sz w:val="16"/>
              </w:rPr>
              <w:t>.201</w:t>
            </w:r>
          </w:p>
        </w:tc>
        <w:tc>
          <w:tcPr>
            <w:tcW w:type="dxa" w:w="903"/>
          </w:tcPr>
          <w:p>
            <w:pPr>
              <w:spacing w:after="0" w:before="0"/>
              <w:jc w:val="left"/>
            </w:pPr>
            <w:r/>
            <w:r>
              <w:rPr>
                <w:rFonts w:ascii="Times New Roman" w:hAnsi="Times New Roman"/>
                <w:sz w:val="16"/>
              </w:rPr>
              <w:t>48.6%</w:t>
            </w:r>
          </w:p>
        </w:tc>
        <w:tc>
          <w:tcPr>
            <w:tcW w:type="dxa" w:w="903"/>
          </w:tcPr>
          <w:p>
            <w:pPr>
              <w:spacing w:after="0" w:before="0"/>
              <w:jc w:val="left"/>
            </w:pPr>
            <w:r/>
            <w:r>
              <w:rPr>
                <w:rFonts w:ascii="Times New Roman" w:hAnsi="Times New Roman"/>
                <w:sz w:val="16"/>
              </w:rPr>
              <w:t>0.10 [0.03, 0.19]</w:t>
            </w:r>
          </w:p>
        </w:tc>
        <w:tc>
          <w:tcPr>
            <w:tcW w:type="dxa" w:w="903"/>
          </w:tcPr>
          <w:p>
            <w:pPr>
              <w:spacing w:after="0" w:before="0"/>
              <w:jc w:val="left"/>
            </w:pPr>
            <w:r/>
            <w:r>
              <w:rPr>
                <w:rFonts w:ascii="Times New Roman" w:hAnsi="Times New Roman"/>
                <w:sz w:val="16"/>
              </w:rPr>
              <w:t>17.4%</w:t>
            </w:r>
          </w:p>
        </w:tc>
      </w:tr>
      <w:tr>
        <w:tc>
          <w:tcPr>
            <w:tcW w:type="dxa" w:w="903"/>
          </w:tcPr>
          <w:p>
            <w:pPr>
              <w:spacing w:after="0" w:before="0"/>
              <w:jc w:val="left"/>
            </w:pPr>
            <w:r/>
            <w:r>
              <w:rPr>
                <w:rFonts w:ascii="Times New Roman" w:hAnsi="Times New Roman"/>
                <w:sz w:val="16"/>
              </w:rPr>
              <w:t>≥ 15 (0.09%)</w:t>
            </w:r>
          </w:p>
        </w:tc>
        <w:tc>
          <w:tcPr>
            <w:tcW w:type="dxa" w:w="903"/>
          </w:tcPr>
          <w:p>
            <w:pPr>
              <w:spacing w:after="0" w:before="0"/>
              <w:jc w:val="left"/>
            </w:pPr>
            <w:r/>
            <w:r>
              <w:rPr>
                <w:rFonts w:ascii="Times New Roman" w:hAnsi="Times New Roman"/>
                <w:sz w:val="16"/>
              </w:rPr>
              <w:t>7,725</w:t>
            </w:r>
          </w:p>
        </w:tc>
        <w:tc>
          <w:tcPr>
            <w:tcW w:type="dxa" w:w="903"/>
          </w:tcPr>
          <w:p>
            <w:pPr>
              <w:spacing w:after="0" w:before="0"/>
              <w:jc w:val="left"/>
            </w:pPr>
            <w:r/>
            <w:r>
              <w:rPr>
                <w:rFonts w:ascii="Times New Roman" w:hAnsi="Times New Roman"/>
                <w:sz w:val="16"/>
              </w:rPr>
              <w:t>490</w:t>
            </w:r>
          </w:p>
        </w:tc>
        <w:tc>
          <w:tcPr>
            <w:tcW w:type="dxa" w:w="903"/>
          </w:tcPr>
          <w:p>
            <w:pPr>
              <w:spacing w:after="0" w:before="0"/>
              <w:jc w:val="left"/>
            </w:pPr>
            <w:r/>
            <w:r>
              <w:rPr>
                <w:rFonts w:ascii="Times New Roman" w:hAnsi="Times New Roman"/>
                <w:sz w:val="16"/>
              </w:rPr>
              <w:t>1.1521</w:t>
            </w:r>
          </w:p>
        </w:tc>
        <w:tc>
          <w:tcPr>
            <w:tcW w:type="dxa" w:w="903"/>
          </w:tcPr>
          <w:p>
            <w:pPr>
              <w:spacing w:after="0" w:before="0"/>
              <w:jc w:val="left"/>
            </w:pPr>
            <w:r/>
            <w:r>
              <w:rPr>
                <w:rFonts w:ascii="Times New Roman" w:hAnsi="Times New Roman"/>
                <w:sz w:val="16"/>
              </w:rPr>
              <w:t>[1.036, 1.282]</w:t>
            </w:r>
          </w:p>
        </w:tc>
        <w:tc>
          <w:tcPr>
            <w:tcW w:type="dxa" w:w="903"/>
          </w:tcPr>
          <w:p>
            <w:pPr>
              <w:spacing w:after="0" w:before="0"/>
              <w:jc w:val="left"/>
            </w:pPr>
            <w:r/>
            <w:r>
              <w:rPr>
                <w:rFonts w:ascii="Times New Roman" w:hAnsi="Times New Roman"/>
                <w:sz w:val="16"/>
              </w:rPr>
              <w:t>.0091</w:t>
            </w:r>
          </w:p>
        </w:tc>
        <w:tc>
          <w:tcPr>
            <w:tcW w:type="dxa" w:w="903"/>
          </w:tcPr>
          <w:p>
            <w:pPr>
              <w:spacing w:after="0" w:before="0"/>
              <w:jc w:val="left"/>
            </w:pPr>
            <w:r/>
            <w:r>
              <w:rPr>
                <w:rFonts w:ascii="Times New Roman" w:hAnsi="Times New Roman"/>
                <w:sz w:val="16"/>
              </w:rPr>
              <w:t>.080</w:t>
            </w:r>
          </w:p>
        </w:tc>
        <w:tc>
          <w:tcPr>
            <w:tcW w:type="dxa" w:w="903"/>
          </w:tcPr>
          <w:p>
            <w:pPr>
              <w:spacing w:after="0" w:before="0"/>
              <w:jc w:val="left"/>
            </w:pPr>
            <w:r/>
            <w:r>
              <w:rPr>
                <w:rFonts w:ascii="Times New Roman" w:hAnsi="Times New Roman"/>
                <w:sz w:val="16"/>
              </w:rPr>
              <w:t>32.9%</w:t>
            </w:r>
          </w:p>
        </w:tc>
        <w:tc>
          <w:tcPr>
            <w:tcW w:type="dxa" w:w="903"/>
          </w:tcPr>
          <w:p>
            <w:pPr>
              <w:spacing w:after="0" w:before="0"/>
              <w:jc w:val="left"/>
            </w:pPr>
            <w:r/>
            <w:r>
              <w:rPr>
                <w:rFonts w:ascii="Times New Roman" w:hAnsi="Times New Roman"/>
                <w:sz w:val="16"/>
              </w:rPr>
              <w:t>0.07 [0.01, 0.14]</w:t>
            </w:r>
          </w:p>
        </w:tc>
        <w:tc>
          <w:tcPr>
            <w:tcW w:type="dxa" w:w="903"/>
          </w:tcPr>
          <w:p>
            <w:pPr>
              <w:spacing w:after="0" w:before="0"/>
              <w:jc w:val="left"/>
            </w:pPr>
            <w:r/>
            <w:r>
              <w:rPr>
                <w:rFonts w:ascii="Times New Roman" w:hAnsi="Times New Roman"/>
                <w:sz w:val="16"/>
              </w:rPr>
              <w:t>10.1%</w:t>
            </w:r>
          </w:p>
        </w:tc>
      </w:tr>
      <w:tr>
        <w:tc>
          <w:tcPr>
            <w:tcW w:type="dxa" w:w="903"/>
          </w:tcPr>
          <w:p>
            <w:pPr>
              <w:spacing w:after="0" w:before="0"/>
              <w:jc w:val="left"/>
            </w:pPr>
            <w:r/>
            <w:r>
              <w:rPr>
                <w:rFonts w:ascii="Times New Roman" w:hAnsi="Times New Roman"/>
                <w:sz w:val="16"/>
              </w:rPr>
              <w:t>Fractional counting (none excluded; different outcome, see S7)</w:t>
            </w:r>
          </w:p>
        </w:tc>
        <w:tc>
          <w:tcPr>
            <w:tcW w:type="dxa" w:w="903"/>
          </w:tcPr>
          <w:p>
            <w:pPr>
              <w:spacing w:after="0" w:before="0"/>
              <w:jc w:val="left"/>
            </w:pPr>
            <w:r/>
            <w:r>
              <w:rPr>
                <w:rFonts w:ascii="Times New Roman" w:hAnsi="Times New Roman"/>
                <w:sz w:val="16"/>
              </w:rPr>
              <w:t>7,886</w:t>
            </w:r>
          </w:p>
        </w:tc>
        <w:tc>
          <w:tcPr>
            <w:tcW w:type="dxa" w:w="903"/>
          </w:tcPr>
          <w:p>
            <w:pPr>
              <w:spacing w:after="0" w:before="0"/>
              <w:jc w:val="left"/>
            </w:pPr>
            <w:r/>
            <w:r>
              <w:rPr>
                <w:rFonts w:ascii="Times New Roman" w:hAnsi="Times New Roman"/>
                <w:sz w:val="16"/>
              </w:rPr>
              <w:t>504</w:t>
            </w:r>
          </w:p>
        </w:tc>
        <w:tc>
          <w:tcPr>
            <w:tcW w:type="dxa" w:w="903"/>
          </w:tcPr>
          <w:p>
            <w:pPr>
              <w:spacing w:after="0" w:before="0"/>
              <w:jc w:val="left"/>
            </w:pPr>
            <w:r/>
            <w:r>
              <w:rPr>
                <w:rFonts w:ascii="Times New Roman" w:hAnsi="Times New Roman"/>
                <w:sz w:val="16"/>
              </w:rPr>
              <w:t>1.1396</w:t>
            </w:r>
          </w:p>
        </w:tc>
        <w:tc>
          <w:tcPr>
            <w:tcW w:type="dxa" w:w="903"/>
          </w:tcPr>
          <w:p>
            <w:pPr>
              <w:spacing w:after="0" w:before="0"/>
              <w:jc w:val="left"/>
            </w:pPr>
            <w:r/>
            <w:r>
              <w:rPr>
                <w:rFonts w:ascii="Times New Roman" w:hAnsi="Times New Roman"/>
                <w:sz w:val="16"/>
              </w:rPr>
              <w:t>[1.006, 1.291]</w:t>
            </w:r>
          </w:p>
        </w:tc>
        <w:tc>
          <w:tcPr>
            <w:tcW w:type="dxa" w:w="903"/>
          </w:tcPr>
          <w:p>
            <w:pPr>
              <w:spacing w:after="0" w:before="0"/>
              <w:jc w:val="left"/>
            </w:pPr>
            <w:r/>
            <w:r>
              <w:rPr>
                <w:rFonts w:ascii="Times New Roman" w:hAnsi="Times New Roman"/>
                <w:sz w:val="16"/>
              </w:rPr>
              <w:t>.040</w:t>
            </w:r>
          </w:p>
        </w:tc>
        <w:tc>
          <w:tcPr>
            <w:tcW w:type="dxa" w:w="903"/>
          </w:tcPr>
          <w:p>
            <w:pPr>
              <w:spacing w:after="0" w:before="0"/>
              <w:jc w:val="left"/>
            </w:pPr>
            <w:r/>
            <w:r>
              <w:rPr>
                <w:rFonts w:ascii="Times New Roman" w:hAnsi="Times New Roman"/>
                <w:sz w:val="16"/>
              </w:rPr>
              <w:t>.306</w:t>
            </w:r>
          </w:p>
        </w:tc>
        <w:tc>
          <w:tcPr>
            <w:tcW w:type="dxa" w:w="903"/>
          </w:tcPr>
          <w:p>
            <w:pPr>
              <w:spacing w:after="0" w:before="0"/>
              <w:jc w:val="left"/>
            </w:pPr>
            <w:r/>
            <w:r>
              <w:rPr>
                <w:rFonts w:ascii="Times New Roman" w:hAnsi="Times New Roman"/>
                <w:sz w:val="16"/>
              </w:rPr>
              <w:t>38.0%</w:t>
            </w:r>
          </w:p>
        </w:tc>
        <w:tc>
          <w:tcPr>
            <w:tcW w:type="dxa" w:w="903"/>
          </w:tcPr>
          <w:p>
            <w:pPr>
              <w:spacing w:after="0" w:before="0"/>
              <w:jc w:val="left"/>
            </w:pPr>
            <w:r/>
            <w:r>
              <w:rPr>
                <w:rFonts w:ascii="Times New Roman" w:hAnsi="Times New Roman"/>
                <w:sz w:val="16"/>
              </w:rPr>
              <w:t>0.08 [-0.07, 0.27]</w:t>
            </w:r>
          </w:p>
        </w:tc>
        <w:tc>
          <w:tcPr>
            <w:tcW w:type="dxa" w:w="903"/>
          </w:tcPr>
          <w:p>
            <w:pPr>
              <w:spacing w:after="0" w:before="0"/>
              <w:jc w:val="left"/>
            </w:pPr>
            <w:r/>
            <w:r>
              <w:rPr>
                <w:rFonts w:ascii="Times New Roman" w:hAnsi="Times New Roman"/>
                <w:sz w:val="16"/>
              </w:rPr>
              <w:t>—</w:t>
            </w:r>
          </w:p>
        </w:tc>
      </w:tr>
      <w:tr>
        <w:tc>
          <w:tcPr>
            <w:tcW w:type="dxa" w:w="903"/>
          </w:tcPr>
          <w:p>
            <w:pPr>
              <w:spacing w:after="0" w:before="0"/>
              <w:jc w:val="left"/>
            </w:pPr>
            <w:r/>
            <w:r>
              <w:rPr>
                <w:rFonts w:ascii="Times New Roman" w:hAnsi="Times New Roman"/>
                <w:sz w:val="16"/>
              </w:rPr>
              <w:t>Joint perturbation</w:t>
            </w:r>
          </w:p>
        </w:tc>
        <w:tc>
          <w:tcPr>
            <w:tcW w:type="dxa" w:w="903"/>
          </w:tcPr>
          <w:p>
            <w:pPr>
              <w:spacing w:after="0" w:before="0"/>
              <w:jc w:val="left"/>
            </w:pPr>
            <w:r/>
            <w:r>
              <w:rPr>
                <w:rFonts w:ascii="Times New Roman" w:hAnsi="Times New Roman"/>
                <w:sz w:val="16"/>
              </w:rPr>
              <w:t>7,611</w:t>
            </w:r>
          </w:p>
        </w:tc>
        <w:tc>
          <w:tcPr>
            <w:tcW w:type="dxa" w:w="903"/>
          </w:tcPr>
          <w:p>
            <w:pPr>
              <w:spacing w:after="0" w:before="0"/>
              <w:jc w:val="left"/>
            </w:pPr>
            <w:r/>
            <w:r>
              <w:rPr>
                <w:rFonts w:ascii="Times New Roman" w:hAnsi="Times New Roman"/>
                <w:sz w:val="16"/>
              </w:rPr>
              <w:t>457</w:t>
            </w:r>
          </w:p>
        </w:tc>
        <w:tc>
          <w:tcPr>
            <w:tcW w:type="dxa" w:w="903"/>
          </w:tcPr>
          <w:p>
            <w:pPr>
              <w:spacing w:after="0" w:before="0"/>
              <w:jc w:val="left"/>
            </w:pPr>
            <w:r/>
            <w:r>
              <w:rPr>
                <w:rFonts w:ascii="Times New Roman" w:hAnsi="Times New Roman"/>
                <w:sz w:val="16"/>
              </w:rPr>
              <w:t>1.0948</w:t>
            </w:r>
          </w:p>
        </w:tc>
        <w:tc>
          <w:tcPr>
            <w:tcW w:type="dxa" w:w="903"/>
          </w:tcPr>
          <w:p>
            <w:pPr>
              <w:spacing w:after="0" w:before="0"/>
              <w:jc w:val="left"/>
            </w:pPr>
            <w:r/>
            <w:r>
              <w:rPr>
                <w:rFonts w:ascii="Times New Roman" w:hAnsi="Times New Roman"/>
                <w:sz w:val="16"/>
              </w:rPr>
              <w:t>[0.981, 1.222]</w:t>
            </w:r>
          </w:p>
        </w:tc>
        <w:tc>
          <w:tcPr>
            <w:tcW w:type="dxa" w:w="903"/>
          </w:tcPr>
          <w:p>
            <w:pPr>
              <w:spacing w:after="0" w:before="0"/>
              <w:jc w:val="left"/>
            </w:pPr>
            <w:r/>
            <w:r>
              <w:rPr>
                <w:rFonts w:ascii="Times New Roman" w:hAnsi="Times New Roman"/>
                <w:sz w:val="16"/>
              </w:rPr>
              <w:t>.105</w:t>
            </w:r>
          </w:p>
        </w:tc>
        <w:tc>
          <w:tcPr>
            <w:tcW w:type="dxa" w:w="903"/>
          </w:tcPr>
          <w:p>
            <w:pPr>
              <w:spacing w:after="0" w:before="0"/>
              <w:jc w:val="left"/>
            </w:pPr>
            <w:r/>
            <w:r>
              <w:rPr>
                <w:rFonts w:ascii="Times New Roman" w:hAnsi="Times New Roman"/>
                <w:sz w:val="16"/>
              </w:rPr>
              <w:t>.297</w:t>
            </w:r>
          </w:p>
        </w:tc>
        <w:tc>
          <w:tcPr>
            <w:tcW w:type="dxa" w:w="903"/>
          </w:tcPr>
          <w:p>
            <w:pPr>
              <w:spacing w:after="0" w:before="0"/>
              <w:jc w:val="left"/>
            </w:pPr>
            <w:r/>
            <w:r>
              <w:rPr>
                <w:rFonts w:ascii="Times New Roman" w:hAnsi="Times New Roman"/>
                <w:sz w:val="16"/>
              </w:rPr>
              <w:t>57.1%</w:t>
            </w:r>
          </w:p>
        </w:tc>
        <w:tc>
          <w:tcPr>
            <w:tcW w:type="dxa" w:w="903"/>
          </w:tcPr>
          <w:p>
            <w:pPr>
              <w:spacing w:after="0" w:before="0"/>
              <w:jc w:val="left"/>
            </w:pPr>
            <w:r/>
            <w:r>
              <w:rPr>
                <w:rFonts w:ascii="Times New Roman" w:hAnsi="Times New Roman"/>
                <w:sz w:val="16"/>
              </w:rPr>
              <w:t>—</w:t>
            </w:r>
          </w:p>
        </w:tc>
        <w:tc>
          <w:tcPr>
            <w:tcW w:type="dxa" w:w="903"/>
          </w:tcPr>
          <w:p>
            <w:pPr>
              <w:spacing w:after="0" w:before="0"/>
              <w:jc w:val="left"/>
            </w:pPr>
            <w:r/>
            <w:r>
              <w:rPr>
                <w:rFonts w:ascii="Times New Roman" w:hAnsi="Times New Roman"/>
                <w:sz w:val="16"/>
              </w:rPr>
              <w:t>—</w:t>
            </w:r>
          </w:p>
        </w:tc>
      </w:tr>
      <w:tr>
        <w:tc>
          <w:tcPr>
            <w:tcW w:type="dxa" w:w="903"/>
          </w:tcPr>
          <w:p>
            <w:pPr>
              <w:spacing w:after="0" w:before="0"/>
              <w:jc w:val="left"/>
            </w:pPr>
            <w:r/>
            <w:r>
              <w:rPr>
                <w:rFonts w:ascii="Times New Roman" w:hAnsi="Times New Roman"/>
                <w:sz w:val="16"/>
              </w:rPr>
              <w:t>2,000 m threshold, none excluded</w:t>
            </w:r>
          </w:p>
        </w:tc>
        <w:tc>
          <w:tcPr>
            <w:tcW w:type="dxa" w:w="903"/>
          </w:tcPr>
          <w:p>
            <w:pPr>
              <w:spacing w:after="0" w:before="0"/>
              <w:jc w:val="left"/>
            </w:pPr>
            <w:r/>
            <w:r>
              <w:rPr>
                <w:rFonts w:ascii="Times New Roman" w:hAnsi="Times New Roman"/>
                <w:sz w:val="16"/>
              </w:rPr>
              <w:t>7,886</w:t>
            </w:r>
          </w:p>
        </w:tc>
        <w:tc>
          <w:tcPr>
            <w:tcW w:type="dxa" w:w="903"/>
          </w:tcPr>
          <w:p>
            <w:pPr>
              <w:spacing w:after="0" w:before="0"/>
              <w:jc w:val="left"/>
            </w:pPr>
            <w:r/>
            <w:r>
              <w:rPr>
                <w:rFonts w:ascii="Times New Roman" w:hAnsi="Times New Roman"/>
                <w:sz w:val="16"/>
              </w:rPr>
              <w:t>187</w:t>
            </w:r>
          </w:p>
        </w:tc>
        <w:tc>
          <w:tcPr>
            <w:tcW w:type="dxa" w:w="903"/>
          </w:tcPr>
          <w:p>
            <w:pPr>
              <w:spacing w:after="0" w:before="0"/>
              <w:jc w:val="left"/>
            </w:pPr>
            <w:r/>
            <w:r>
              <w:rPr>
                <w:rFonts w:ascii="Times New Roman" w:hAnsi="Times New Roman"/>
                <w:sz w:val="16"/>
              </w:rPr>
              <w:t>1.1514</w:t>
            </w:r>
          </w:p>
        </w:tc>
        <w:tc>
          <w:tcPr>
            <w:tcW w:type="dxa" w:w="903"/>
          </w:tcPr>
          <w:p>
            <w:pPr>
              <w:spacing w:after="0" w:before="0"/>
              <w:jc w:val="left"/>
            </w:pPr>
            <w:r/>
            <w:r>
              <w:rPr>
                <w:rFonts w:ascii="Times New Roman" w:hAnsi="Times New Roman"/>
                <w:sz w:val="16"/>
              </w:rPr>
              <w:t>[0.970, 1.367]</w:t>
            </w:r>
          </w:p>
        </w:tc>
        <w:tc>
          <w:tcPr>
            <w:tcW w:type="dxa" w:w="903"/>
          </w:tcPr>
          <w:p>
            <w:pPr>
              <w:spacing w:after="0" w:before="0"/>
              <w:jc w:val="left"/>
            </w:pPr>
            <w:r/>
            <w:r>
              <w:rPr>
                <w:rFonts w:ascii="Times New Roman" w:hAnsi="Times New Roman"/>
                <w:sz w:val="16"/>
              </w:rPr>
              <w:t>.107</w:t>
            </w:r>
          </w:p>
        </w:tc>
        <w:tc>
          <w:tcPr>
            <w:tcW w:type="dxa" w:w="903"/>
          </w:tcPr>
          <w:p>
            <w:pPr>
              <w:spacing w:after="0" w:before="0"/>
              <w:jc w:val="left"/>
            </w:pPr>
            <w:r/>
            <w:r>
              <w:rPr>
                <w:rFonts w:ascii="Times New Roman" w:hAnsi="Times New Roman"/>
                <w:sz w:val="16"/>
              </w:rPr>
              <w:t>.270</w:t>
            </w:r>
          </w:p>
        </w:tc>
        <w:tc>
          <w:tcPr>
            <w:tcW w:type="dxa" w:w="903"/>
          </w:tcPr>
          <w:p>
            <w:pPr>
              <w:spacing w:after="0" w:before="0"/>
              <w:jc w:val="left"/>
            </w:pPr>
            <w:r/>
            <w:r>
              <w:rPr>
                <w:rFonts w:ascii="Times New Roman" w:hAnsi="Times New Roman"/>
                <w:sz w:val="16"/>
              </w:rPr>
              <w:t>—</w:t>
            </w:r>
          </w:p>
        </w:tc>
        <w:tc>
          <w:tcPr>
            <w:tcW w:type="dxa" w:w="903"/>
          </w:tcPr>
          <w:p>
            <w:pPr>
              <w:spacing w:after="0" w:before="0"/>
              <w:jc w:val="left"/>
            </w:pPr>
            <w:r/>
            <w:r>
              <w:rPr>
                <w:rFonts w:ascii="Times New Roman" w:hAnsi="Times New Roman"/>
                <w:sz w:val="16"/>
              </w:rPr>
              <w:t>—</w:t>
            </w:r>
          </w:p>
        </w:tc>
        <w:tc>
          <w:tcPr>
            <w:tcW w:type="dxa" w:w="903"/>
          </w:tcPr>
          <w:p>
            <w:pPr>
              <w:spacing w:after="0" w:before="0"/>
              <w:jc w:val="left"/>
            </w:pPr>
            <w:r/>
            <w:r>
              <w:rPr>
                <w:rFonts w:ascii="Times New Roman" w:hAnsi="Times New Roman"/>
                <w:sz w:val="16"/>
              </w:rPr>
              <w:t>—</w:t>
            </w:r>
          </w:p>
        </w:tc>
      </w:tr>
      <w:tr>
        <w:tc>
          <w:tcPr>
            <w:tcW w:type="dxa" w:w="903"/>
          </w:tcPr>
          <w:p>
            <w:pPr>
              <w:spacing w:after="0" w:before="0"/>
              <w:jc w:val="left"/>
            </w:pPr>
            <w:r/>
            <w:r>
              <w:rPr>
                <w:rFonts w:ascii="Times New Roman" w:hAnsi="Times New Roman"/>
                <w:sz w:val="16"/>
              </w:rPr>
              <w:t>2,000 m, ≥ 10 excluded</w:t>
            </w:r>
          </w:p>
        </w:tc>
        <w:tc>
          <w:tcPr>
            <w:tcW w:type="dxa" w:w="903"/>
          </w:tcPr>
          <w:p>
            <w:pPr>
              <w:spacing w:after="0" w:before="0"/>
              <w:jc w:val="left"/>
            </w:pPr>
            <w:r/>
            <w:r>
              <w:rPr>
                <w:rFonts w:ascii="Times New Roman" w:hAnsi="Times New Roman"/>
                <w:sz w:val="16"/>
              </w:rPr>
              <w:t>7,611</w:t>
            </w:r>
          </w:p>
        </w:tc>
        <w:tc>
          <w:tcPr>
            <w:tcW w:type="dxa" w:w="903"/>
          </w:tcPr>
          <w:p>
            <w:pPr>
              <w:spacing w:after="0" w:before="0"/>
              <w:jc w:val="left"/>
            </w:pPr>
            <w:r/>
            <w:r>
              <w:rPr>
                <w:rFonts w:ascii="Times New Roman" w:hAnsi="Times New Roman"/>
                <w:sz w:val="16"/>
              </w:rPr>
              <w:t>180</w:t>
            </w:r>
          </w:p>
        </w:tc>
        <w:tc>
          <w:tcPr>
            <w:tcW w:type="dxa" w:w="903"/>
          </w:tcPr>
          <w:p>
            <w:pPr>
              <w:spacing w:after="0" w:before="0"/>
              <w:jc w:val="left"/>
            </w:pPr>
            <w:r/>
            <w:r>
              <w:rPr>
                <w:rFonts w:ascii="Times New Roman" w:hAnsi="Times New Roman"/>
                <w:sz w:val="16"/>
              </w:rPr>
              <w:t>1.0450</w:t>
            </w:r>
          </w:p>
        </w:tc>
        <w:tc>
          <w:tcPr>
            <w:tcW w:type="dxa" w:w="903"/>
          </w:tcPr>
          <w:p>
            <w:pPr>
              <w:spacing w:after="0" w:before="0"/>
              <w:jc w:val="left"/>
            </w:pPr>
            <w:r/>
            <w:r>
              <w:rPr>
                <w:rFonts w:ascii="Times New Roman" w:hAnsi="Times New Roman"/>
                <w:sz w:val="16"/>
              </w:rPr>
              <w:t>[0.882, 1.239]</w:t>
            </w:r>
          </w:p>
        </w:tc>
        <w:tc>
          <w:tcPr>
            <w:tcW w:type="dxa" w:w="903"/>
          </w:tcPr>
          <w:p>
            <w:pPr>
              <w:spacing w:after="0" w:before="0"/>
              <w:jc w:val="left"/>
            </w:pPr>
            <w:r/>
            <w:r>
              <w:rPr>
                <w:rFonts w:ascii="Times New Roman" w:hAnsi="Times New Roman"/>
                <w:sz w:val="16"/>
              </w:rPr>
              <w:t>.612</w:t>
            </w:r>
          </w:p>
        </w:tc>
        <w:tc>
          <w:tcPr>
            <w:tcW w:type="dxa" w:w="903"/>
          </w:tcPr>
          <w:p>
            <w:pPr>
              <w:spacing w:after="0" w:before="0"/>
              <w:jc w:val="left"/>
            </w:pPr>
            <w:r/>
            <w:r>
              <w:rPr>
                <w:rFonts w:ascii="Times New Roman" w:hAnsi="Times New Roman"/>
                <w:sz w:val="16"/>
              </w:rPr>
              <w:t>.729</w:t>
            </w:r>
          </w:p>
        </w:tc>
        <w:tc>
          <w:tcPr>
            <w:tcW w:type="dxa" w:w="903"/>
          </w:tcPr>
          <w:p>
            <w:pPr>
              <w:spacing w:after="0" w:before="0"/>
              <w:jc w:val="left"/>
            </w:pPr>
            <w:r/>
            <w:r>
              <w:rPr>
                <w:rFonts w:ascii="Times New Roman" w:hAnsi="Times New Roman"/>
                <w:sz w:val="16"/>
              </w:rPr>
              <w:t>68.8%</w:t>
            </w:r>
          </w:p>
        </w:tc>
        <w:tc>
          <w:tcPr>
            <w:tcW w:type="dxa" w:w="903"/>
          </w:tcPr>
          <w:p>
            <w:pPr>
              <w:spacing w:after="0" w:before="0"/>
              <w:jc w:val="left"/>
            </w:pPr>
            <w:r/>
            <w:r>
              <w:rPr>
                <w:rFonts w:ascii="Times New Roman" w:hAnsi="Times New Roman"/>
                <w:sz w:val="16"/>
              </w:rPr>
              <w:t>—</w:t>
            </w:r>
          </w:p>
        </w:tc>
        <w:tc>
          <w:tcPr>
            <w:tcW w:type="dxa" w:w="903"/>
          </w:tcPr>
          <w:p>
            <w:pPr>
              <w:spacing w:after="0" w:before="0"/>
              <w:jc w:val="left"/>
            </w:pPr>
            <w:r/>
            <w:r>
              <w:rPr>
                <w:rFonts w:ascii="Times New Roman" w:hAnsi="Times New Roman"/>
                <w:sz w:val="16"/>
              </w:rPr>
              <w:t>17.4%</w:t>
            </w:r>
          </w:p>
        </w:tc>
      </w:tr>
      <w:tr>
        <w:tc>
          <w:tcPr>
            <w:tcW w:type="dxa" w:w="903"/>
          </w:tcPr>
          <w:p>
            <w:pPr>
              <w:spacing w:after="0" w:before="0"/>
              <w:jc w:val="left"/>
            </w:pPr>
            <w:r/>
            <w:r>
              <w:rPr>
                <w:rFonts w:ascii="Times New Roman" w:hAnsi="Times New Roman"/>
                <w:sz w:val="16"/>
              </w:rPr>
              <w:t>2,000 m, fractional counting</w:t>
            </w:r>
          </w:p>
        </w:tc>
        <w:tc>
          <w:tcPr>
            <w:tcW w:type="dxa" w:w="903"/>
          </w:tcPr>
          <w:p>
            <w:pPr>
              <w:spacing w:after="0" w:before="0"/>
              <w:jc w:val="left"/>
            </w:pPr>
            <w:r/>
            <w:r>
              <w:rPr>
                <w:rFonts w:ascii="Times New Roman" w:hAnsi="Times New Roman"/>
                <w:sz w:val="16"/>
              </w:rPr>
              <w:t>7,886</w:t>
            </w:r>
          </w:p>
        </w:tc>
        <w:tc>
          <w:tcPr>
            <w:tcW w:type="dxa" w:w="903"/>
          </w:tcPr>
          <w:p>
            <w:pPr>
              <w:spacing w:after="0" w:before="0"/>
              <w:jc w:val="left"/>
            </w:pPr>
            <w:r/>
            <w:r>
              <w:rPr>
                <w:rFonts w:ascii="Times New Roman" w:hAnsi="Times New Roman"/>
                <w:sz w:val="16"/>
              </w:rPr>
              <w:t>187</w:t>
            </w:r>
          </w:p>
        </w:tc>
        <w:tc>
          <w:tcPr>
            <w:tcW w:type="dxa" w:w="903"/>
          </w:tcPr>
          <w:p>
            <w:pPr>
              <w:spacing w:after="0" w:before="0"/>
              <w:jc w:val="left"/>
            </w:pPr>
            <w:r/>
            <w:r>
              <w:rPr>
                <w:rFonts w:ascii="Times New Roman" w:hAnsi="Times New Roman"/>
                <w:sz w:val="16"/>
              </w:rPr>
              <w:t>1.0074</w:t>
            </w:r>
          </w:p>
        </w:tc>
        <w:tc>
          <w:tcPr>
            <w:tcW w:type="dxa" w:w="903"/>
          </w:tcPr>
          <w:p>
            <w:pPr>
              <w:spacing w:after="0" w:before="0"/>
              <w:jc w:val="left"/>
            </w:pPr>
            <w:r/>
            <w:r>
              <w:rPr>
                <w:rFonts w:ascii="Times New Roman" w:hAnsi="Times New Roman"/>
                <w:sz w:val="16"/>
              </w:rPr>
              <w:t>[0.825, 1.230]</w:t>
            </w:r>
          </w:p>
        </w:tc>
        <w:tc>
          <w:tcPr>
            <w:tcW w:type="dxa" w:w="903"/>
          </w:tcPr>
          <w:p>
            <w:pPr>
              <w:spacing w:after="0" w:before="0"/>
              <w:jc w:val="left"/>
            </w:pPr>
            <w:r/>
            <w:r>
              <w:rPr>
                <w:rFonts w:ascii="Times New Roman" w:hAnsi="Times New Roman"/>
                <w:sz w:val="16"/>
              </w:rPr>
              <w:t>.942</w:t>
            </w:r>
          </w:p>
        </w:tc>
        <w:tc>
          <w:tcPr>
            <w:tcW w:type="dxa" w:w="903"/>
          </w:tcPr>
          <w:p>
            <w:pPr>
              <w:spacing w:after="0" w:before="0"/>
              <w:jc w:val="left"/>
            </w:pPr>
            <w:r/>
            <w:r>
              <w:rPr>
                <w:rFonts w:ascii="Times New Roman" w:hAnsi="Times New Roman"/>
                <w:sz w:val="16"/>
              </w:rPr>
              <w:t>.965</w:t>
            </w:r>
          </w:p>
        </w:tc>
        <w:tc>
          <w:tcPr>
            <w:tcW w:type="dxa" w:w="903"/>
          </w:tcPr>
          <w:p>
            <w:pPr>
              <w:spacing w:after="0" w:before="0"/>
              <w:jc w:val="left"/>
            </w:pPr>
            <w:r/>
            <w:r>
              <w:rPr>
                <w:rFonts w:ascii="Times New Roman" w:hAnsi="Times New Roman"/>
                <w:sz w:val="16"/>
              </w:rPr>
              <w:t>94.8%</w:t>
            </w:r>
          </w:p>
        </w:tc>
        <w:tc>
          <w:tcPr>
            <w:tcW w:type="dxa" w:w="903"/>
          </w:tcPr>
          <w:p>
            <w:pPr>
              <w:spacing w:after="0" w:before="0"/>
              <w:jc w:val="left"/>
            </w:pPr>
            <w:r/>
            <w:r>
              <w:rPr>
                <w:rFonts w:ascii="Times New Roman" w:hAnsi="Times New Roman"/>
                <w:sz w:val="16"/>
              </w:rPr>
              <w:t>—</w:t>
            </w:r>
          </w:p>
        </w:tc>
        <w:tc>
          <w:tcPr>
            <w:tcW w:type="dxa" w:w="903"/>
          </w:tcPr>
          <w:p>
            <w:pPr>
              <w:spacing w:after="0" w:before="0"/>
              <w:jc w:val="left"/>
            </w:pPr>
            <w:r/>
            <w:r>
              <w:rPr>
                <w:rFonts w:ascii="Times New Roman" w:hAnsi="Times New Roman"/>
                <w:sz w:val="16"/>
              </w:rPr>
              <w:t>—</w:t>
            </w:r>
          </w:p>
        </w:tc>
      </w:tr>
    </w:tbl>
    <w:p/>
    <w:p>
      <w:pPr>
        <w:spacing w:after="120"/>
      </w:pPr>
      <w:r>
        <w:rPr>
          <w:b w:val="0"/>
          <w:i w:val="0"/>
        </w:rPr>
        <w:t>Table S1. The headline regression under four institution-count caps, fractional counting, and joint perturbation, and the same decomposition at the pre-specified 2,000 m threshold. The 2,000 m rows use the August-vintage 2,000 m density covariate of S12, so the full-sample row differs at the fourth decimal from the July-vintage baseline of Table S10 (1.1514, p = .107, against 1.1508, p = .108). Permutation p comes from 5,000 full-model refits with the degree sequence held fixed (seed 20260808). The joint perturbation stacks the registry correction of check 8 on the ≥ 10 exclusion. Log-effect removed is measured against ln(1.2348) for the 5,000 m rows and against ln(1.1514) for the 2,000 m rows.</w:t>
      </w:r>
    </w:p>
    <w:p>
      <w:pPr>
        <w:pStyle w:val="2"/>
      </w:pPr>
      <w:r>
        <w:rPr>
          <w:b w:val="0"/>
          <w:i w:val="0"/>
        </w:rPr>
        <w:t>S5 Equivalence testing under model-based and bootstrap standard errors</w:t>
      </w:r>
    </w:p>
    <w:p>
      <w:pPr/>
      <w:r>
        <w:rPr>
          <w:b w:val="0"/>
          <w:i w:val="0"/>
        </w:rPr>
        <w:t>The equivalence row of Table S9 requires a TOST and a 90% interval for every decision-relevant non-significant coefficient. The main text treats model-based intervals as descriptive and resampling-based inference as the figure of record, so I report both (Table S2). The bootstrap standard error on the log scale exceeds the model-based standard error by a factor of 1.3 to 1.9 across specifications. That shows model-based standard errors are anticonservative on this design. S22 attributes the gap to variance misspecification of the negative binomial rather than to dyadic dependence specifically. No specification confirms equivalence once the resampling-based standard error is used. At the primary 2,000 m specification, the model-based TOST against IRR 0.80–1.25 gives p = .172. Narrower bounds fail more decisively (IRR 0.85–1.18, p = .387; 0.90–1.11, p = .660). Only a substantially wider bound confirms equivalence, and only marginally (0.75–1.33, p = .049), so the primary bound is conservative rather than self-serving. Across the threshold sweep the model-based TOST p is .481, .319, .172, .157, and .410 from 500 to 5,000 m, and .412 at the vintage-matched 5,000 m × 5,000 m headline combination.</w:t>
      </w:r>
    </w:p>
    <w:tbl>
      <w:tblPr>
        <w:tblW w:type="auto" w:w="0"/>
        <w:tblLayout w:type="autofit"/>
        <w:tblLook w:firstColumn="1" w:firstRow="1" w:lastColumn="0" w:lastRow="0" w:noHBand="0" w:noVBand="1" w:val="04A0"/>
        <w:tblBorders>
          <w:top w:val="single" w:sz="4" w:space="0" w:color="000000"/>
          <w:bottom w:val="single" w:sz="4" w:space="0" w:color="000000"/>
          <w:insideH w:val="single" w:sz="4" w:space="0" w:color="000000"/>
          <w:left w:val="nil"/>
          <w:right w:val="nil"/>
          <w:insideV w:val="nil"/>
        </w:tblBorders>
      </w:tblPr>
      <w:tblGrid>
        <w:gridCol w:w="1128"/>
        <w:gridCol w:w="1128"/>
        <w:gridCol w:w="1128"/>
        <w:gridCol w:w="1128"/>
        <w:gridCol w:w="1128"/>
        <w:gridCol w:w="1128"/>
        <w:gridCol w:w="1128"/>
        <w:gridCol w:w="1128"/>
      </w:tblGrid>
      <w:tr>
        <w:tc>
          <w:tcPr>
            <w:tcW w:type="dxa" w:w="1128"/>
          </w:tcPr>
          <w:p>
            <w:pPr>
              <w:spacing w:after="0" w:before="0"/>
              <w:jc w:val="left"/>
            </w:pPr>
            <w:r/>
            <w:r>
              <w:rPr>
                <w:rFonts w:ascii="Times New Roman" w:hAnsi="Times New Roman"/>
                <w:b/>
                <w:sz w:val="16"/>
              </w:rPr>
              <w:t>Specification</w:t>
            </w:r>
          </w:p>
        </w:tc>
        <w:tc>
          <w:tcPr>
            <w:tcW w:type="dxa" w:w="1128"/>
          </w:tcPr>
          <w:p>
            <w:pPr>
              <w:spacing w:after="0" w:before="0"/>
              <w:jc w:val="left"/>
            </w:pPr>
            <w:r/>
            <w:r>
              <w:rPr>
                <w:rFonts w:ascii="Times New Roman" w:hAnsi="Times New Roman"/>
                <w:b/>
                <w:sz w:val="16"/>
              </w:rPr>
              <w:t>IRR</w:t>
            </w:r>
          </w:p>
        </w:tc>
        <w:tc>
          <w:tcPr>
            <w:tcW w:type="dxa" w:w="1128"/>
          </w:tcPr>
          <w:p>
            <w:pPr>
              <w:spacing w:after="0" w:before="0"/>
              <w:jc w:val="left"/>
            </w:pPr>
            <w:r/>
            <w:r>
              <w:rPr>
                <w:rFonts w:ascii="Times New Roman" w:hAnsi="Times New Roman"/>
                <w:b/>
                <w:sz w:val="16"/>
              </w:rPr>
              <w:t>Model 90% CI</w:t>
            </w:r>
          </w:p>
        </w:tc>
        <w:tc>
          <w:tcPr>
            <w:tcW w:type="dxa" w:w="1128"/>
          </w:tcPr>
          <w:p>
            <w:pPr>
              <w:spacing w:after="0" w:before="0"/>
              <w:jc w:val="left"/>
            </w:pPr>
            <w:r/>
            <w:r>
              <w:rPr>
                <w:rFonts w:ascii="Times New Roman" w:hAnsi="Times New Roman"/>
                <w:b/>
                <w:sz w:val="16"/>
              </w:rPr>
              <w:t>Bootstrap 90% CI</w:t>
            </w:r>
          </w:p>
        </w:tc>
        <w:tc>
          <w:tcPr>
            <w:tcW w:type="dxa" w:w="1128"/>
          </w:tcPr>
          <w:p>
            <w:pPr>
              <w:spacing w:after="0" w:before="0"/>
              <w:jc w:val="left"/>
            </w:pPr>
            <w:r/>
            <w:r>
              <w:rPr>
                <w:rFonts w:ascii="Times New Roman" w:hAnsi="Times New Roman"/>
                <w:b/>
                <w:sz w:val="16"/>
              </w:rPr>
              <w:t>Model SE</w:t>
            </w:r>
          </w:p>
        </w:tc>
        <w:tc>
          <w:tcPr>
            <w:tcW w:type="dxa" w:w="1128"/>
          </w:tcPr>
          <w:p>
            <w:pPr>
              <w:spacing w:after="0" w:before="0"/>
              <w:jc w:val="left"/>
            </w:pPr>
            <w:r/>
            <w:r>
              <w:rPr>
                <w:rFonts w:ascii="Times New Roman" w:hAnsi="Times New Roman"/>
                <w:b/>
                <w:sz w:val="16"/>
              </w:rPr>
              <w:t>Bootstrap SE</w:t>
            </w:r>
          </w:p>
        </w:tc>
        <w:tc>
          <w:tcPr>
            <w:tcW w:type="dxa" w:w="1128"/>
          </w:tcPr>
          <w:p>
            <w:pPr>
              <w:spacing w:after="0" w:before="0"/>
              <w:jc w:val="left"/>
            </w:pPr>
            <w:r/>
            <w:r>
              <w:rPr>
                <w:rFonts w:ascii="Times New Roman" w:hAnsi="Times New Roman"/>
                <w:b/>
                <w:sz w:val="16"/>
              </w:rPr>
              <w:t>TOST p (model SE)</w:t>
            </w:r>
          </w:p>
        </w:tc>
        <w:tc>
          <w:tcPr>
            <w:tcW w:type="dxa" w:w="1128"/>
          </w:tcPr>
          <w:p>
            <w:pPr>
              <w:spacing w:after="0" w:before="0"/>
              <w:jc w:val="left"/>
            </w:pPr>
            <w:r/>
            <w:r>
              <w:rPr>
                <w:rFonts w:ascii="Times New Roman" w:hAnsi="Times New Roman"/>
                <w:b/>
                <w:sz w:val="16"/>
              </w:rPr>
              <w:t>TOST p (bootstrap SE)</w:t>
            </w:r>
          </w:p>
        </w:tc>
      </w:tr>
      <w:tr>
        <w:tc>
          <w:tcPr>
            <w:tcW w:type="dxa" w:w="1128"/>
          </w:tcPr>
          <w:p>
            <w:pPr>
              <w:spacing w:after="0" w:before="0"/>
              <w:jc w:val="left"/>
            </w:pPr>
            <w:r/>
            <w:r>
              <w:rPr>
                <w:rFonts w:ascii="Times New Roman" w:hAnsi="Times New Roman"/>
                <w:sz w:val="16"/>
              </w:rPr>
              <w:t>Headline</w:t>
            </w:r>
          </w:p>
        </w:tc>
        <w:tc>
          <w:tcPr>
            <w:tcW w:type="dxa" w:w="1128"/>
          </w:tcPr>
          <w:p>
            <w:pPr>
              <w:spacing w:after="0" w:before="0"/>
              <w:jc w:val="left"/>
            </w:pPr>
            <w:r/>
            <w:r>
              <w:rPr>
                <w:rFonts w:ascii="Times New Roman" w:hAnsi="Times New Roman"/>
                <w:sz w:val="16"/>
              </w:rPr>
              <w:t>1.2348</w:t>
            </w:r>
          </w:p>
        </w:tc>
        <w:tc>
          <w:tcPr>
            <w:tcW w:type="dxa" w:w="1128"/>
          </w:tcPr>
          <w:p>
            <w:pPr>
              <w:spacing w:after="0" w:before="0"/>
              <w:jc w:val="left"/>
            </w:pPr>
            <w:r/>
            <w:r>
              <w:rPr>
                <w:rFonts w:ascii="Times New Roman" w:hAnsi="Times New Roman"/>
                <w:sz w:val="16"/>
              </w:rPr>
              <w:t>[1.128, 1.351]</w:t>
            </w:r>
          </w:p>
        </w:tc>
        <w:tc>
          <w:tcPr>
            <w:tcW w:type="dxa" w:w="1128"/>
          </w:tcPr>
          <w:p>
            <w:pPr>
              <w:spacing w:after="0" w:before="0"/>
              <w:jc w:val="left"/>
            </w:pPr>
            <w:r/>
            <w:r>
              <w:rPr>
                <w:rFonts w:ascii="Times New Roman" w:hAnsi="Times New Roman"/>
                <w:sz w:val="16"/>
              </w:rPr>
              <w:t>[1.069, 1.414]</w:t>
            </w:r>
          </w:p>
        </w:tc>
        <w:tc>
          <w:tcPr>
            <w:tcW w:type="dxa" w:w="1128"/>
          </w:tcPr>
          <w:p>
            <w:pPr>
              <w:spacing w:after="0" w:before="0"/>
              <w:jc w:val="left"/>
            </w:pPr>
            <w:r/>
            <w:r>
              <w:rPr>
                <w:rFonts w:ascii="Times New Roman" w:hAnsi="Times New Roman"/>
                <w:sz w:val="16"/>
              </w:rPr>
              <w:t>0.0548</w:t>
            </w:r>
          </w:p>
        </w:tc>
        <w:tc>
          <w:tcPr>
            <w:tcW w:type="dxa" w:w="1128"/>
          </w:tcPr>
          <w:p>
            <w:pPr>
              <w:spacing w:after="0" w:before="0"/>
              <w:jc w:val="left"/>
            </w:pPr>
            <w:r/>
            <w:r>
              <w:rPr>
                <w:rFonts w:ascii="Times New Roman" w:hAnsi="Times New Roman"/>
                <w:sz w:val="16"/>
              </w:rPr>
              <w:t>0.0851</w:t>
            </w:r>
          </w:p>
        </w:tc>
        <w:tc>
          <w:tcPr>
            <w:tcW w:type="dxa" w:w="1128"/>
          </w:tcPr>
          <w:p>
            <w:pPr>
              <w:spacing w:after="0" w:before="0"/>
              <w:jc w:val="left"/>
            </w:pPr>
            <w:r/>
            <w:r>
              <w:rPr>
                <w:rFonts w:ascii="Times New Roman" w:hAnsi="Times New Roman"/>
                <w:sz w:val="16"/>
              </w:rPr>
              <w:t>.412</w:t>
            </w:r>
          </w:p>
        </w:tc>
        <w:tc>
          <w:tcPr>
            <w:tcW w:type="dxa" w:w="1128"/>
          </w:tcPr>
          <w:p>
            <w:pPr>
              <w:spacing w:after="0" w:before="0"/>
              <w:jc w:val="left"/>
            </w:pPr>
            <w:r/>
            <w:r>
              <w:rPr>
                <w:rFonts w:ascii="Times New Roman" w:hAnsi="Times New Roman"/>
                <w:sz w:val="16"/>
              </w:rPr>
              <w:t>.443</w:t>
            </w:r>
          </w:p>
        </w:tc>
      </w:tr>
      <w:tr>
        <w:tc>
          <w:tcPr>
            <w:tcW w:type="dxa" w:w="1128"/>
          </w:tcPr>
          <w:p>
            <w:pPr>
              <w:spacing w:after="0" w:before="0"/>
              <w:jc w:val="left"/>
            </w:pPr>
            <w:r/>
            <w:r>
              <w:rPr>
                <w:rFonts w:ascii="Times New Roman" w:hAnsi="Times New Roman"/>
                <w:sz w:val="16"/>
              </w:rPr>
              <w:t>Cap ≥ 6</w:t>
            </w:r>
          </w:p>
        </w:tc>
        <w:tc>
          <w:tcPr>
            <w:tcW w:type="dxa" w:w="1128"/>
          </w:tcPr>
          <w:p>
            <w:pPr>
              <w:spacing w:after="0" w:before="0"/>
              <w:jc w:val="left"/>
            </w:pPr>
            <w:r/>
            <w:r>
              <w:rPr>
                <w:rFonts w:ascii="Times New Roman" w:hAnsi="Times New Roman"/>
                <w:sz w:val="16"/>
              </w:rPr>
              <w:t>1.1168</w:t>
            </w:r>
          </w:p>
        </w:tc>
        <w:tc>
          <w:tcPr>
            <w:tcW w:type="dxa" w:w="1128"/>
          </w:tcPr>
          <w:p>
            <w:pPr>
              <w:spacing w:after="0" w:before="0"/>
              <w:jc w:val="left"/>
            </w:pPr>
            <w:r/>
            <w:r>
              <w:rPr>
                <w:rFonts w:ascii="Times New Roman" w:hAnsi="Times New Roman"/>
                <w:sz w:val="16"/>
              </w:rPr>
              <w:t>[1.018, 1.225]</w:t>
            </w:r>
          </w:p>
        </w:tc>
        <w:tc>
          <w:tcPr>
            <w:tcW w:type="dxa" w:w="1128"/>
          </w:tcPr>
          <w:p>
            <w:pPr>
              <w:spacing w:after="0" w:before="0"/>
              <w:jc w:val="left"/>
            </w:pPr>
            <w:r/>
            <w:r>
              <w:rPr>
                <w:rFonts w:ascii="Times New Roman" w:hAnsi="Times New Roman"/>
                <w:sz w:val="16"/>
              </w:rPr>
              <w:t>[0.934, 1.311]</w:t>
            </w:r>
          </w:p>
        </w:tc>
        <w:tc>
          <w:tcPr>
            <w:tcW w:type="dxa" w:w="1128"/>
          </w:tcPr>
          <w:p>
            <w:pPr>
              <w:spacing w:after="0" w:before="0"/>
              <w:jc w:val="left"/>
            </w:pPr>
            <w:r/>
            <w:r>
              <w:rPr>
                <w:rFonts w:ascii="Times New Roman" w:hAnsi="Times New Roman"/>
                <w:sz w:val="16"/>
              </w:rPr>
              <w:t>0.0565</w:t>
            </w:r>
          </w:p>
        </w:tc>
        <w:tc>
          <w:tcPr>
            <w:tcW w:type="dxa" w:w="1128"/>
          </w:tcPr>
          <w:p>
            <w:pPr>
              <w:spacing w:after="0" w:before="0"/>
              <w:jc w:val="left"/>
            </w:pPr>
            <w:r/>
            <w:r>
              <w:rPr>
                <w:rFonts w:ascii="Times New Roman" w:hAnsi="Times New Roman"/>
                <w:sz w:val="16"/>
              </w:rPr>
              <w:t>0.1047</w:t>
            </w:r>
          </w:p>
        </w:tc>
        <w:tc>
          <w:tcPr>
            <w:tcW w:type="dxa" w:w="1128"/>
          </w:tcPr>
          <w:p>
            <w:pPr>
              <w:spacing w:after="0" w:before="0"/>
              <w:jc w:val="left"/>
            </w:pPr>
            <w:r/>
            <w:r>
              <w:rPr>
                <w:rFonts w:ascii="Times New Roman" w:hAnsi="Times New Roman"/>
                <w:sz w:val="16"/>
              </w:rPr>
              <w:t>.023</w:t>
            </w:r>
          </w:p>
        </w:tc>
        <w:tc>
          <w:tcPr>
            <w:tcW w:type="dxa" w:w="1128"/>
          </w:tcPr>
          <w:p>
            <w:pPr>
              <w:spacing w:after="0" w:before="0"/>
              <w:jc w:val="left"/>
            </w:pPr>
            <w:r/>
            <w:r>
              <w:rPr>
                <w:rFonts w:ascii="Times New Roman" w:hAnsi="Times New Roman"/>
                <w:sz w:val="16"/>
              </w:rPr>
              <w:t>.141</w:t>
            </w:r>
          </w:p>
        </w:tc>
      </w:tr>
      <w:tr>
        <w:tc>
          <w:tcPr>
            <w:tcW w:type="dxa" w:w="1128"/>
          </w:tcPr>
          <w:p>
            <w:pPr>
              <w:spacing w:after="0" w:before="0"/>
              <w:jc w:val="left"/>
            </w:pPr>
            <w:r/>
            <w:r>
              <w:rPr>
                <w:rFonts w:ascii="Times New Roman" w:hAnsi="Times New Roman"/>
                <w:sz w:val="16"/>
              </w:rPr>
              <w:t>Cap ≥ 8</w:t>
            </w:r>
          </w:p>
        </w:tc>
        <w:tc>
          <w:tcPr>
            <w:tcW w:type="dxa" w:w="1128"/>
          </w:tcPr>
          <w:p>
            <w:pPr>
              <w:spacing w:after="0" w:before="0"/>
              <w:jc w:val="left"/>
            </w:pPr>
            <w:r/>
            <w:r>
              <w:rPr>
                <w:rFonts w:ascii="Times New Roman" w:hAnsi="Times New Roman"/>
                <w:sz w:val="16"/>
              </w:rPr>
              <w:t>1.1365</w:t>
            </w:r>
          </w:p>
        </w:tc>
        <w:tc>
          <w:tcPr>
            <w:tcW w:type="dxa" w:w="1128"/>
          </w:tcPr>
          <w:p>
            <w:pPr>
              <w:spacing w:after="0" w:before="0"/>
              <w:jc w:val="left"/>
            </w:pPr>
            <w:r/>
            <w:r>
              <w:rPr>
                <w:rFonts w:ascii="Times New Roman" w:hAnsi="Times New Roman"/>
                <w:sz w:val="16"/>
              </w:rPr>
              <w:t>[1.038, 1.244]</w:t>
            </w:r>
          </w:p>
        </w:tc>
        <w:tc>
          <w:tcPr>
            <w:tcW w:type="dxa" w:w="1128"/>
          </w:tcPr>
          <w:p>
            <w:pPr>
              <w:spacing w:after="0" w:before="0"/>
              <w:jc w:val="left"/>
            </w:pPr>
            <w:r/>
            <w:r>
              <w:rPr>
                <w:rFonts w:ascii="Times New Roman" w:hAnsi="Times New Roman"/>
                <w:sz w:val="16"/>
              </w:rPr>
              <w:t>[0.977, 1.333]</w:t>
            </w:r>
          </w:p>
        </w:tc>
        <w:tc>
          <w:tcPr>
            <w:tcW w:type="dxa" w:w="1128"/>
          </w:tcPr>
          <w:p>
            <w:pPr>
              <w:spacing w:after="0" w:before="0"/>
              <w:jc w:val="left"/>
            </w:pPr>
            <w:r/>
            <w:r>
              <w:rPr>
                <w:rFonts w:ascii="Times New Roman" w:hAnsi="Times New Roman"/>
                <w:sz w:val="16"/>
              </w:rPr>
              <w:t>0.0550</w:t>
            </w:r>
          </w:p>
        </w:tc>
        <w:tc>
          <w:tcPr>
            <w:tcW w:type="dxa" w:w="1128"/>
          </w:tcPr>
          <w:p>
            <w:pPr>
              <w:spacing w:after="0" w:before="0"/>
              <w:jc w:val="left"/>
            </w:pPr>
            <w:r/>
            <w:r>
              <w:rPr>
                <w:rFonts w:ascii="Times New Roman" w:hAnsi="Times New Roman"/>
                <w:sz w:val="16"/>
              </w:rPr>
              <w:t>0.0964</w:t>
            </w:r>
          </w:p>
        </w:tc>
        <w:tc>
          <w:tcPr>
            <w:tcW w:type="dxa" w:w="1128"/>
          </w:tcPr>
          <w:p>
            <w:pPr>
              <w:spacing w:after="0" w:before="0"/>
              <w:jc w:val="left"/>
            </w:pPr>
            <w:r/>
            <w:r>
              <w:rPr>
                <w:rFonts w:ascii="Times New Roman" w:hAnsi="Times New Roman"/>
                <w:sz w:val="16"/>
              </w:rPr>
              <w:t>.042</w:t>
            </w:r>
          </w:p>
        </w:tc>
        <w:tc>
          <w:tcPr>
            <w:tcW w:type="dxa" w:w="1128"/>
          </w:tcPr>
          <w:p>
            <w:pPr>
              <w:spacing w:after="0" w:before="0"/>
              <w:jc w:val="left"/>
            </w:pPr>
            <w:r/>
            <w:r>
              <w:rPr>
                <w:rFonts w:ascii="Times New Roman" w:hAnsi="Times New Roman"/>
                <w:sz w:val="16"/>
              </w:rPr>
              <w:t>.162</w:t>
            </w:r>
          </w:p>
        </w:tc>
      </w:tr>
      <w:tr>
        <w:tc>
          <w:tcPr>
            <w:tcW w:type="dxa" w:w="1128"/>
          </w:tcPr>
          <w:p>
            <w:pPr>
              <w:spacing w:after="0" w:before="0"/>
              <w:jc w:val="left"/>
            </w:pPr>
            <w:r/>
            <w:r>
              <w:rPr>
                <w:rFonts w:ascii="Times New Roman" w:hAnsi="Times New Roman"/>
                <w:sz w:val="16"/>
              </w:rPr>
              <w:t>Cap ≥ 10</w:t>
            </w:r>
          </w:p>
        </w:tc>
        <w:tc>
          <w:tcPr>
            <w:tcW w:type="dxa" w:w="1128"/>
          </w:tcPr>
          <w:p>
            <w:pPr>
              <w:spacing w:after="0" w:before="0"/>
              <w:jc w:val="left"/>
            </w:pPr>
            <w:r/>
            <w:r>
              <w:rPr>
                <w:rFonts w:ascii="Times New Roman" w:hAnsi="Times New Roman"/>
                <w:sz w:val="16"/>
              </w:rPr>
              <w:t>1.1145</w:t>
            </w:r>
          </w:p>
        </w:tc>
        <w:tc>
          <w:tcPr>
            <w:tcW w:type="dxa" w:w="1128"/>
          </w:tcPr>
          <w:p>
            <w:pPr>
              <w:spacing w:after="0" w:before="0"/>
              <w:jc w:val="left"/>
            </w:pPr>
            <w:r/>
            <w:r>
              <w:rPr>
                <w:rFonts w:ascii="Times New Roman" w:hAnsi="Times New Roman"/>
                <w:sz w:val="16"/>
              </w:rPr>
              <w:t>[1.019, 1.219]</w:t>
            </w:r>
          </w:p>
        </w:tc>
        <w:tc>
          <w:tcPr>
            <w:tcW w:type="dxa" w:w="1128"/>
          </w:tcPr>
          <w:p>
            <w:pPr>
              <w:spacing w:after="0" w:before="0"/>
              <w:jc w:val="left"/>
            </w:pPr>
            <w:r/>
            <w:r>
              <w:rPr>
                <w:rFonts w:ascii="Times New Roman" w:hAnsi="Times New Roman"/>
                <w:sz w:val="16"/>
              </w:rPr>
              <w:t>[0.948, 1.289]</w:t>
            </w:r>
          </w:p>
        </w:tc>
        <w:tc>
          <w:tcPr>
            <w:tcW w:type="dxa" w:w="1128"/>
          </w:tcPr>
          <w:p>
            <w:pPr>
              <w:spacing w:after="0" w:before="0"/>
              <w:jc w:val="left"/>
            </w:pPr>
            <w:r/>
            <w:r>
              <w:rPr>
                <w:rFonts w:ascii="Times New Roman" w:hAnsi="Times New Roman"/>
                <w:sz w:val="16"/>
              </w:rPr>
              <w:t>0.0548</w:t>
            </w:r>
          </w:p>
        </w:tc>
        <w:tc>
          <w:tcPr>
            <w:tcW w:type="dxa" w:w="1128"/>
          </w:tcPr>
          <w:p>
            <w:pPr>
              <w:spacing w:after="0" w:before="0"/>
              <w:jc w:val="left"/>
            </w:pPr>
            <w:r/>
            <w:r>
              <w:rPr>
                <w:rFonts w:ascii="Times New Roman" w:hAnsi="Times New Roman"/>
                <w:sz w:val="16"/>
              </w:rPr>
              <w:t>0.0934</w:t>
            </w:r>
          </w:p>
        </w:tc>
        <w:tc>
          <w:tcPr>
            <w:tcW w:type="dxa" w:w="1128"/>
          </w:tcPr>
          <w:p>
            <w:pPr>
              <w:spacing w:after="0" w:before="0"/>
              <w:jc w:val="left"/>
            </w:pPr>
            <w:r/>
            <w:r>
              <w:rPr>
                <w:rFonts w:ascii="Times New Roman" w:hAnsi="Times New Roman"/>
                <w:sz w:val="16"/>
              </w:rPr>
              <w:t>.018</w:t>
            </w:r>
          </w:p>
        </w:tc>
        <w:tc>
          <w:tcPr>
            <w:tcW w:type="dxa" w:w="1128"/>
          </w:tcPr>
          <w:p>
            <w:pPr>
              <w:spacing w:after="0" w:before="0"/>
              <w:jc w:val="left"/>
            </w:pPr>
            <w:r/>
            <w:r>
              <w:rPr>
                <w:rFonts w:ascii="Times New Roman" w:hAnsi="Times New Roman"/>
                <w:sz w:val="16"/>
              </w:rPr>
              <w:t>.110</w:t>
            </w:r>
          </w:p>
        </w:tc>
      </w:tr>
      <w:tr>
        <w:tc>
          <w:tcPr>
            <w:tcW w:type="dxa" w:w="1128"/>
          </w:tcPr>
          <w:p>
            <w:pPr>
              <w:spacing w:after="0" w:before="0"/>
              <w:jc w:val="left"/>
            </w:pPr>
            <w:r/>
            <w:r>
              <w:rPr>
                <w:rFonts w:ascii="Times New Roman" w:hAnsi="Times New Roman"/>
                <w:sz w:val="16"/>
              </w:rPr>
              <w:t>Cap ≥ 15</w:t>
            </w:r>
          </w:p>
        </w:tc>
        <w:tc>
          <w:tcPr>
            <w:tcW w:type="dxa" w:w="1128"/>
          </w:tcPr>
          <w:p>
            <w:pPr>
              <w:spacing w:after="0" w:before="0"/>
              <w:jc w:val="left"/>
            </w:pPr>
            <w:r/>
            <w:r>
              <w:rPr>
                <w:rFonts w:ascii="Times New Roman" w:hAnsi="Times New Roman"/>
                <w:sz w:val="16"/>
              </w:rPr>
              <w:t>1.1521</w:t>
            </w:r>
          </w:p>
        </w:tc>
        <w:tc>
          <w:tcPr>
            <w:tcW w:type="dxa" w:w="1128"/>
          </w:tcPr>
          <w:p>
            <w:pPr>
              <w:spacing w:after="0" w:before="0"/>
              <w:jc w:val="left"/>
            </w:pPr>
            <w:r/>
            <w:r>
              <w:rPr>
                <w:rFonts w:ascii="Times New Roman" w:hAnsi="Times New Roman"/>
                <w:sz w:val="16"/>
              </w:rPr>
              <w:t>[1.054, 1.260]</w:t>
            </w:r>
          </w:p>
        </w:tc>
        <w:tc>
          <w:tcPr>
            <w:tcW w:type="dxa" w:w="1128"/>
          </w:tcPr>
          <w:p>
            <w:pPr>
              <w:spacing w:after="0" w:before="0"/>
              <w:jc w:val="left"/>
            </w:pPr>
            <w:r/>
            <w:r>
              <w:rPr>
                <w:rFonts w:ascii="Times New Roman" w:hAnsi="Times New Roman"/>
                <w:sz w:val="16"/>
              </w:rPr>
              <w:t>[0.985, 1.334]</w:t>
            </w:r>
          </w:p>
        </w:tc>
        <w:tc>
          <w:tcPr>
            <w:tcW w:type="dxa" w:w="1128"/>
          </w:tcPr>
          <w:p>
            <w:pPr>
              <w:spacing w:after="0" w:before="0"/>
              <w:jc w:val="left"/>
            </w:pPr>
            <w:r/>
            <w:r>
              <w:rPr>
                <w:rFonts w:ascii="Times New Roman" w:hAnsi="Times New Roman"/>
                <w:sz w:val="16"/>
              </w:rPr>
              <w:t>0.0543</w:t>
            </w:r>
          </w:p>
        </w:tc>
        <w:tc>
          <w:tcPr>
            <w:tcW w:type="dxa" w:w="1128"/>
          </w:tcPr>
          <w:p>
            <w:pPr>
              <w:spacing w:after="0" w:before="0"/>
              <w:jc w:val="left"/>
            </w:pPr>
            <w:r/>
            <w:r>
              <w:rPr>
                <w:rFonts w:ascii="Times New Roman" w:hAnsi="Times New Roman"/>
                <w:sz w:val="16"/>
              </w:rPr>
              <w:t>0.0920</w:t>
            </w:r>
          </w:p>
        </w:tc>
        <w:tc>
          <w:tcPr>
            <w:tcW w:type="dxa" w:w="1128"/>
          </w:tcPr>
          <w:p>
            <w:pPr>
              <w:spacing w:after="0" w:before="0"/>
              <w:jc w:val="left"/>
            </w:pPr>
            <w:r/>
            <w:r>
              <w:rPr>
                <w:rFonts w:ascii="Times New Roman" w:hAnsi="Times New Roman"/>
                <w:sz w:val="16"/>
              </w:rPr>
              <w:t>.067</w:t>
            </w:r>
          </w:p>
        </w:tc>
        <w:tc>
          <w:tcPr>
            <w:tcW w:type="dxa" w:w="1128"/>
          </w:tcPr>
          <w:p>
            <w:pPr>
              <w:spacing w:after="0" w:before="0"/>
              <w:jc w:val="left"/>
            </w:pPr>
            <w:r/>
            <w:r>
              <w:rPr>
                <w:rFonts w:ascii="Times New Roman" w:hAnsi="Times New Roman"/>
                <w:sz w:val="16"/>
              </w:rPr>
              <w:t>.188</w:t>
            </w:r>
          </w:p>
        </w:tc>
      </w:tr>
      <w:tr>
        <w:tc>
          <w:tcPr>
            <w:tcW w:type="dxa" w:w="1128"/>
          </w:tcPr>
          <w:p>
            <w:pPr>
              <w:spacing w:after="0" w:before="0"/>
              <w:jc w:val="left"/>
            </w:pPr>
            <w:r/>
            <w:r>
              <w:rPr>
                <w:rFonts w:ascii="Times New Roman" w:hAnsi="Times New Roman"/>
                <w:sz w:val="16"/>
              </w:rPr>
              <w:t>Joint perturbation</w:t>
            </w:r>
          </w:p>
        </w:tc>
        <w:tc>
          <w:tcPr>
            <w:tcW w:type="dxa" w:w="1128"/>
          </w:tcPr>
          <w:p>
            <w:pPr>
              <w:spacing w:after="0" w:before="0"/>
              <w:jc w:val="left"/>
            </w:pPr>
            <w:r/>
            <w:r>
              <w:rPr>
                <w:rFonts w:ascii="Times New Roman" w:hAnsi="Times New Roman"/>
                <w:sz w:val="16"/>
              </w:rPr>
              <w:t>1.0948</w:t>
            </w:r>
          </w:p>
        </w:tc>
        <w:tc>
          <w:tcPr>
            <w:tcW w:type="dxa" w:w="1128"/>
          </w:tcPr>
          <w:p>
            <w:pPr>
              <w:spacing w:after="0" w:before="0"/>
              <w:jc w:val="left"/>
            </w:pPr>
            <w:r/>
            <w:r>
              <w:rPr>
                <w:rFonts w:ascii="Times New Roman" w:hAnsi="Times New Roman"/>
                <w:sz w:val="16"/>
              </w:rPr>
              <w:t>[0.999, 1.200]</w:t>
            </w:r>
          </w:p>
        </w:tc>
        <w:tc>
          <w:tcPr>
            <w:tcW w:type="dxa" w:w="1128"/>
          </w:tcPr>
          <w:p>
            <w:pPr>
              <w:spacing w:after="0" w:before="0"/>
              <w:jc w:val="left"/>
            </w:pPr>
            <w:r/>
            <w:r>
              <w:rPr>
                <w:rFonts w:ascii="Times New Roman" w:hAnsi="Times New Roman"/>
                <w:sz w:val="16"/>
              </w:rPr>
              <w:t>[0.924, 1.266]</w:t>
            </w:r>
          </w:p>
        </w:tc>
        <w:tc>
          <w:tcPr>
            <w:tcW w:type="dxa" w:w="1128"/>
          </w:tcPr>
          <w:p>
            <w:pPr>
              <w:spacing w:after="0" w:before="0"/>
              <w:jc w:val="left"/>
            </w:pPr>
            <w:r/>
            <w:r>
              <w:rPr>
                <w:rFonts w:ascii="Times New Roman" w:hAnsi="Times New Roman"/>
                <w:sz w:val="16"/>
              </w:rPr>
              <w:t>0.0559</w:t>
            </w:r>
          </w:p>
        </w:tc>
        <w:tc>
          <w:tcPr>
            <w:tcW w:type="dxa" w:w="1128"/>
          </w:tcPr>
          <w:p>
            <w:pPr>
              <w:spacing w:after="0" w:before="0"/>
              <w:jc w:val="left"/>
            </w:pPr>
            <w:r/>
            <w:r>
              <w:rPr>
                <w:rFonts w:ascii="Times New Roman" w:hAnsi="Times New Roman"/>
                <w:sz w:val="16"/>
              </w:rPr>
              <w:t>0.0963</w:t>
            </w:r>
          </w:p>
        </w:tc>
        <w:tc>
          <w:tcPr>
            <w:tcW w:type="dxa" w:w="1128"/>
          </w:tcPr>
          <w:p>
            <w:pPr>
              <w:spacing w:after="0" w:before="0"/>
              <w:jc w:val="left"/>
            </w:pPr>
            <w:r/>
            <w:r>
              <w:rPr>
                <w:rFonts w:ascii="Times New Roman" w:hAnsi="Times New Roman"/>
                <w:sz w:val="16"/>
              </w:rPr>
              <w:t>.0089</w:t>
            </w:r>
          </w:p>
        </w:tc>
        <w:tc>
          <w:tcPr>
            <w:tcW w:type="dxa" w:w="1128"/>
          </w:tcPr>
          <w:p>
            <w:pPr>
              <w:spacing w:after="0" w:before="0"/>
              <w:jc w:val="left"/>
            </w:pPr>
            <w:r/>
            <w:r>
              <w:rPr>
                <w:rFonts w:ascii="Times New Roman" w:hAnsi="Times New Roman"/>
                <w:sz w:val="16"/>
              </w:rPr>
              <w:t>.084</w:t>
            </w:r>
          </w:p>
        </w:tc>
      </w:tr>
      <w:tr>
        <w:tc>
          <w:tcPr>
            <w:tcW w:type="dxa" w:w="1128"/>
          </w:tcPr>
          <w:p>
            <w:pPr>
              <w:spacing w:after="0" w:before="0"/>
              <w:jc w:val="left"/>
            </w:pPr>
            <w:r/>
            <w:r>
              <w:rPr>
                <w:rFonts w:ascii="Times New Roman" w:hAnsi="Times New Roman"/>
                <w:sz w:val="16"/>
              </w:rPr>
              <w:t>Productivity, 2,000 m</w:t>
            </w:r>
          </w:p>
        </w:tc>
        <w:tc>
          <w:tcPr>
            <w:tcW w:type="dxa" w:w="1128"/>
          </w:tcPr>
          <w:p>
            <w:pPr>
              <w:spacing w:after="0" w:before="0"/>
              <w:jc w:val="left"/>
            </w:pPr>
            <w:r/>
            <w:r>
              <w:rPr>
                <w:rFonts w:ascii="Times New Roman" w:hAnsi="Times New Roman"/>
                <w:sz w:val="16"/>
              </w:rPr>
              <w:t>1.1343</w:t>
            </w:r>
          </w:p>
        </w:tc>
        <w:tc>
          <w:tcPr>
            <w:tcW w:type="dxa" w:w="1128"/>
          </w:tcPr>
          <w:p>
            <w:pPr>
              <w:spacing w:after="0" w:before="0"/>
              <w:jc w:val="left"/>
            </w:pPr>
            <w:r/>
            <w:r>
              <w:rPr>
                <w:rFonts w:ascii="Times New Roman" w:hAnsi="Times New Roman"/>
                <w:sz w:val="16"/>
              </w:rPr>
              <w:t>[1.026, 1.254]</w:t>
            </w:r>
          </w:p>
        </w:tc>
        <w:tc>
          <w:tcPr>
            <w:tcW w:type="dxa" w:w="1128"/>
          </w:tcPr>
          <w:p>
            <w:pPr>
              <w:spacing w:after="0" w:before="0"/>
              <w:jc w:val="left"/>
            </w:pPr>
            <w:r/>
            <w:r>
              <w:rPr>
                <w:rFonts w:ascii="Times New Roman" w:hAnsi="Times New Roman"/>
                <w:sz w:val="16"/>
              </w:rPr>
              <w:t>[0.979, 1.303]</w:t>
            </w:r>
          </w:p>
        </w:tc>
        <w:tc>
          <w:tcPr>
            <w:tcW w:type="dxa" w:w="1128"/>
          </w:tcPr>
          <w:p>
            <w:pPr>
              <w:spacing w:after="0" w:before="0"/>
              <w:jc w:val="left"/>
            </w:pPr>
            <w:r/>
            <w:r>
              <w:rPr>
                <w:rFonts w:ascii="Times New Roman" w:hAnsi="Times New Roman"/>
                <w:sz w:val="16"/>
              </w:rPr>
              <w:t>0.0610</w:t>
            </w:r>
          </w:p>
        </w:tc>
        <w:tc>
          <w:tcPr>
            <w:tcW w:type="dxa" w:w="1128"/>
          </w:tcPr>
          <w:p>
            <w:pPr>
              <w:spacing w:after="0" w:before="0"/>
              <w:jc w:val="left"/>
            </w:pPr>
            <w:r/>
            <w:r>
              <w:rPr>
                <w:rFonts w:ascii="Times New Roman" w:hAnsi="Times New Roman"/>
                <w:sz w:val="16"/>
              </w:rPr>
              <w:t>0.0881</w:t>
            </w:r>
          </w:p>
        </w:tc>
        <w:tc>
          <w:tcPr>
            <w:tcW w:type="dxa" w:w="1128"/>
          </w:tcPr>
          <w:p>
            <w:pPr>
              <w:spacing w:after="0" w:before="0"/>
              <w:jc w:val="left"/>
            </w:pPr>
            <w:r/>
            <w:r>
              <w:rPr>
                <w:rFonts w:ascii="Times New Roman" w:hAnsi="Times New Roman"/>
                <w:sz w:val="16"/>
              </w:rPr>
              <w:t>.056</w:t>
            </w:r>
          </w:p>
        </w:tc>
        <w:tc>
          <w:tcPr>
            <w:tcW w:type="dxa" w:w="1128"/>
          </w:tcPr>
          <w:p>
            <w:pPr>
              <w:spacing w:after="0" w:before="0"/>
              <w:jc w:val="left"/>
            </w:pPr>
            <w:r/>
            <w:r>
              <w:rPr>
                <w:rFonts w:ascii="Times New Roman" w:hAnsi="Times New Roman"/>
                <w:sz w:val="16"/>
              </w:rPr>
              <w:t>.135</w:t>
            </w:r>
          </w:p>
        </w:tc>
      </w:tr>
      <w:tr>
        <w:tc>
          <w:tcPr>
            <w:tcW w:type="dxa" w:w="1128"/>
          </w:tcPr>
          <w:p>
            <w:pPr>
              <w:spacing w:after="0" w:before="0"/>
              <w:jc w:val="left"/>
            </w:pPr>
            <w:r/>
            <w:r>
              <w:rPr>
                <w:rFonts w:ascii="Times New Roman" w:hAnsi="Times New Roman"/>
                <w:sz w:val="16"/>
              </w:rPr>
              <w:t>Productivity, headline</w:t>
            </w:r>
          </w:p>
        </w:tc>
        <w:tc>
          <w:tcPr>
            <w:tcW w:type="dxa" w:w="1128"/>
          </w:tcPr>
          <w:p>
            <w:pPr>
              <w:spacing w:after="0" w:before="0"/>
              <w:jc w:val="left"/>
            </w:pPr>
            <w:r/>
            <w:r>
              <w:rPr>
                <w:rFonts w:ascii="Times New Roman" w:hAnsi="Times New Roman"/>
                <w:sz w:val="16"/>
              </w:rPr>
              <w:t>1.2016</w:t>
            </w:r>
          </w:p>
        </w:tc>
        <w:tc>
          <w:tcPr>
            <w:tcW w:type="dxa" w:w="1128"/>
          </w:tcPr>
          <w:p>
            <w:pPr>
              <w:spacing w:after="0" w:before="0"/>
              <w:jc w:val="left"/>
            </w:pPr>
            <w:r/>
            <w:r>
              <w:rPr>
                <w:rFonts w:ascii="Times New Roman" w:hAnsi="Times New Roman"/>
                <w:sz w:val="16"/>
              </w:rPr>
              <w:t>[1.128, 1.280]</w:t>
            </w:r>
          </w:p>
        </w:tc>
        <w:tc>
          <w:tcPr>
            <w:tcW w:type="dxa" w:w="1128"/>
          </w:tcPr>
          <w:p>
            <w:pPr>
              <w:spacing w:after="0" w:before="0"/>
              <w:jc w:val="left"/>
            </w:pPr>
            <w:r/>
            <w:r>
              <w:rPr>
                <w:rFonts w:ascii="Times New Roman" w:hAnsi="Times New Roman"/>
                <w:sz w:val="16"/>
              </w:rPr>
              <w:t>[1.098, 1.308]</w:t>
            </w:r>
          </w:p>
        </w:tc>
        <w:tc>
          <w:tcPr>
            <w:tcW w:type="dxa" w:w="1128"/>
          </w:tcPr>
          <w:p>
            <w:pPr>
              <w:spacing w:after="0" w:before="0"/>
              <w:jc w:val="left"/>
            </w:pPr>
            <w:r/>
            <w:r>
              <w:rPr>
                <w:rFonts w:ascii="Times New Roman" w:hAnsi="Times New Roman"/>
                <w:sz w:val="16"/>
              </w:rPr>
              <w:t>0.0384</w:t>
            </w:r>
          </w:p>
        </w:tc>
        <w:tc>
          <w:tcPr>
            <w:tcW w:type="dxa" w:w="1128"/>
          </w:tcPr>
          <w:p>
            <w:pPr>
              <w:spacing w:after="0" w:before="0"/>
              <w:jc w:val="left"/>
            </w:pPr>
            <w:r/>
            <w:r>
              <w:rPr>
                <w:rFonts w:ascii="Times New Roman" w:hAnsi="Times New Roman"/>
                <w:sz w:val="16"/>
              </w:rPr>
              <w:t>0.0525</w:t>
            </w:r>
          </w:p>
        </w:tc>
        <w:tc>
          <w:tcPr>
            <w:tcW w:type="dxa" w:w="1128"/>
          </w:tcPr>
          <w:p>
            <w:pPr>
              <w:spacing w:after="0" w:before="0"/>
              <w:jc w:val="left"/>
            </w:pPr>
            <w:r/>
            <w:r>
              <w:rPr>
                <w:rFonts w:ascii="Times New Roman" w:hAnsi="Times New Roman"/>
                <w:sz w:val="16"/>
              </w:rPr>
              <w:t>.152</w:t>
            </w:r>
          </w:p>
        </w:tc>
        <w:tc>
          <w:tcPr>
            <w:tcW w:type="dxa" w:w="1128"/>
          </w:tcPr>
          <w:p>
            <w:pPr>
              <w:spacing w:after="0" w:before="0"/>
              <w:jc w:val="left"/>
            </w:pPr>
            <w:r/>
            <w:r>
              <w:rPr>
                <w:rFonts w:ascii="Times New Roman" w:hAnsi="Times New Roman"/>
                <w:sz w:val="16"/>
              </w:rPr>
              <w:t>.226</w:t>
            </w:r>
          </w:p>
        </w:tc>
      </w:tr>
      <w:tr>
        <w:tc>
          <w:tcPr>
            <w:tcW w:type="dxa" w:w="1128"/>
          </w:tcPr>
          <w:p>
            <w:pPr>
              <w:spacing w:after="0" w:before="0"/>
              <w:jc w:val="left"/>
            </w:pPr>
            <w:r/>
            <w:r>
              <w:rPr>
                <w:rFonts w:ascii="Times New Roman" w:hAnsi="Times New Roman"/>
                <w:sz w:val="16"/>
              </w:rPr>
              <w:t>CAR-T headline</w:t>
            </w:r>
          </w:p>
        </w:tc>
        <w:tc>
          <w:tcPr>
            <w:tcW w:type="dxa" w:w="1128"/>
          </w:tcPr>
          <w:p>
            <w:pPr>
              <w:spacing w:after="0" w:before="0"/>
              <w:jc w:val="left"/>
            </w:pPr>
            <w:r/>
            <w:r>
              <w:rPr>
                <w:rFonts w:ascii="Times New Roman" w:hAnsi="Times New Roman"/>
                <w:sz w:val="16"/>
              </w:rPr>
              <w:t>1.1178</w:t>
            </w:r>
          </w:p>
        </w:tc>
        <w:tc>
          <w:tcPr>
            <w:tcW w:type="dxa" w:w="1128"/>
          </w:tcPr>
          <w:p>
            <w:pPr>
              <w:spacing w:after="0" w:before="0"/>
              <w:jc w:val="left"/>
            </w:pPr>
            <w:r/>
            <w:r>
              <w:rPr>
                <w:rFonts w:ascii="Times New Roman" w:hAnsi="Times New Roman"/>
                <w:sz w:val="16"/>
              </w:rPr>
              <w:t>[1.013, 1.233]</w:t>
            </w:r>
          </w:p>
        </w:tc>
        <w:tc>
          <w:tcPr>
            <w:tcW w:type="dxa" w:w="1128"/>
          </w:tcPr>
          <w:p>
            <w:pPr>
              <w:spacing w:after="0" w:before="0"/>
              <w:jc w:val="left"/>
            </w:pPr>
            <w:r/>
            <w:r>
              <w:rPr>
                <w:rFonts w:ascii="Times New Roman" w:hAnsi="Times New Roman"/>
                <w:sz w:val="16"/>
              </w:rPr>
              <w:t>[0.973, 1.266]</w:t>
            </w:r>
          </w:p>
        </w:tc>
        <w:tc>
          <w:tcPr>
            <w:tcW w:type="dxa" w:w="1128"/>
          </w:tcPr>
          <w:p>
            <w:pPr>
              <w:spacing w:after="0" w:before="0"/>
              <w:jc w:val="left"/>
            </w:pPr>
            <w:r/>
            <w:r>
              <w:rPr>
                <w:rFonts w:ascii="Times New Roman" w:hAnsi="Times New Roman"/>
                <w:sz w:val="16"/>
              </w:rPr>
              <w:t>0.0596</w:t>
            </w:r>
          </w:p>
        </w:tc>
        <w:tc>
          <w:tcPr>
            <w:tcW w:type="dxa" w:w="1128"/>
          </w:tcPr>
          <w:p>
            <w:pPr>
              <w:spacing w:after="0" w:before="0"/>
              <w:jc w:val="left"/>
            </w:pPr>
            <w:r/>
            <w:r>
              <w:rPr>
                <w:rFonts w:ascii="Times New Roman" w:hAnsi="Times New Roman"/>
                <w:sz w:val="16"/>
              </w:rPr>
              <w:t>0.0791</w:t>
            </w:r>
          </w:p>
        </w:tc>
        <w:tc>
          <w:tcPr>
            <w:tcW w:type="dxa" w:w="1128"/>
          </w:tcPr>
          <w:p>
            <w:pPr>
              <w:spacing w:after="0" w:before="0"/>
              <w:jc w:val="left"/>
            </w:pPr>
            <w:r/>
            <w:r>
              <w:rPr>
                <w:rFonts w:ascii="Times New Roman" w:hAnsi="Times New Roman"/>
                <w:sz w:val="16"/>
              </w:rPr>
              <w:t>.030</w:t>
            </w:r>
          </w:p>
        </w:tc>
        <w:tc>
          <w:tcPr>
            <w:tcW w:type="dxa" w:w="1128"/>
          </w:tcPr>
          <w:p>
            <w:pPr>
              <w:spacing w:after="0" w:before="0"/>
              <w:jc w:val="left"/>
            </w:pPr>
            <w:r/>
            <w:r>
              <w:rPr>
                <w:rFonts w:ascii="Times New Roman" w:hAnsi="Times New Roman"/>
                <w:sz w:val="16"/>
              </w:rPr>
              <w:t>.079</w:t>
            </w:r>
          </w:p>
        </w:tc>
      </w:tr>
    </w:tbl>
    <w:p/>
    <w:p>
      <w:pPr>
        <w:spacing w:after="120"/>
      </w:pPr>
      <w:r>
        <w:rPr>
          <w:b w:val="0"/>
          <w:i w:val="0"/>
        </w:rPr>
        <w:t>Table S2. TOST equivalence tests under model-based and bootstrap standard errors. Standard errors are on the log scale. Bootstrap intervals are percentile intervals from 2,000 resamples of institutions (seed 20260809). TOST is tested against an equivalence bound of IRR 0.80–1.25, and equivalence is concluded only where TOST p &lt; .05.</w:t>
      </w:r>
    </w:p>
    <w:p>
      <w:pPr>
        <w:pStyle w:val="2"/>
      </w:pPr>
      <w:r>
        <w:rPr>
          <w:b w:val="0"/>
          <w:i w:val="0"/>
        </w:rPr>
        <w:t>S6 Prior power of the model-based and permutation tests</w:t>
      </w:r>
    </w:p>
    <w:p>
      <w:pPr/>
      <w:r>
        <w:rPr>
          <w:b w:val="0"/>
          <w:i w:val="0"/>
        </w:rPr>
        <w:t>I compute power on the consortium-excluded design (n = 7,611, 479 treated) at pre-specified true effect sizes rather than at the observed estimate. Power evaluated at an observed coefficient is a monotone transform of its p-value and adds no information. The grid includes a benchmark at IRR 1.1145, the magnitude of the residual the protocol adjudicates. The permutation null on this design (5,000 label permutations, seed 20260811) is approximately normal. The signed permuted coefficient has standard deviation 0.0837, skewness 0.09, and excess kurtosis −0.10, and its 95th absolute percentile, 0.1648, is 1.97 times that standard deviation. A Shapiro–Wilk test on 5,000 draws detects the small departure (p = .005), which is immaterial to the critical value. A standard deviation computed on the absolute rather than the signed coefficients would be 0.0499, with the 95th percentile at 3.30 of those units. For a normal variate the two differ by the factor √(1 − 2/π) ≈ 0.60. Such a figure would wrongly suggest a heavy-tailed null, and the signed statistics are the ones to read. What is true is that the permutation null is 1.53 times wider than the model-based standard error of 0.0548. The model-based test is therefore anticonservative by that factor, and the permutation critical value of 0.1648 (3.01 model-based standard errors) is correspondingly demanding. That has a second consequence: a power grid that simulates outcomes from the fitted negative binomial, whose coefficient variance is the model-based one, understates the permutation test's power. Beside that grid, Table S3 therefore reports a second one under a data-generating process calibrated to the empirical variance. I inflated the negative binomial dispersion by a factor of 2.23 until the simulated coefficient standard deviation reached 0.079 (target 0.084), keeping the same empirical critical value of 0.1648 and 2,000 replicates per cell. Under it the permutation test has 18% power at IRR 1.10, 22% at 1.1145, 36% at 1.15, 76% at 1.25, and a size of 1.35% at IRR 1.00. The model-based test's nominal power (43–65% over 1.10–1.15) comes with a size of 6.9%. The check-9 verdict, which requires power below .50 before a non-significant residual is read as contamination, is unchanged at 22%. The misclassification simulation of S11 uses the model-based data-generating process, and its power figures should be read with the same caveat. S22 gives the null's shape on the full design and under alternative exchangeability assumptions.</w:t>
      </w:r>
    </w:p>
    <w:tbl>
      <w:tblPr>
        <w:tblW w:type="auto" w:w="0"/>
        <w:tblLayout w:type="autofit"/>
        <w:tblLook w:firstColumn="1" w:firstRow="1" w:lastColumn="0" w:lastRow="0" w:noHBand="0" w:noVBand="1" w:val="04A0"/>
        <w:tblBorders>
          <w:top w:val="single" w:sz="4" w:space="0" w:color="000000"/>
          <w:bottom w:val="single" w:sz="4" w:space="0" w:color="000000"/>
          <w:insideH w:val="single" w:sz="4" w:space="0" w:color="000000"/>
          <w:left w:val="nil"/>
          <w:right w:val="nil"/>
          <w:insideV w:val="nil"/>
        </w:tblBorders>
      </w:tblPr>
      <w:tblGrid>
        <w:gridCol w:w="1504"/>
        <w:gridCol w:w="1504"/>
        <w:gridCol w:w="1504"/>
        <w:gridCol w:w="1504"/>
        <w:gridCol w:w="1504"/>
        <w:gridCol w:w="1504"/>
      </w:tblGrid>
      <w:tr>
        <w:tc>
          <w:tcPr>
            <w:tcW w:type="dxa" w:w="1504"/>
          </w:tcPr>
          <w:p>
            <w:pPr>
              <w:spacing w:after="0" w:before="0"/>
              <w:jc w:val="left"/>
            </w:pPr>
            <w:r/>
            <w:r>
              <w:rPr>
                <w:rFonts w:ascii="Times New Roman" w:hAnsi="Times New Roman"/>
                <w:b/>
                <w:sz w:val="18"/>
              </w:rPr>
              <w:t>True IRR</w:t>
            </w:r>
          </w:p>
        </w:tc>
        <w:tc>
          <w:tcPr>
            <w:tcW w:type="dxa" w:w="1504"/>
          </w:tcPr>
          <w:p>
            <w:pPr>
              <w:spacing w:after="0" w:before="0"/>
              <w:jc w:val="left"/>
            </w:pPr>
            <w:r/>
            <w:r>
              <w:rPr>
                <w:rFonts w:ascii="Times New Roman" w:hAnsi="Times New Roman"/>
                <w:b/>
                <w:sz w:val="18"/>
              </w:rPr>
              <w:t>Power, model-based test (fitted dispersion)</w:t>
            </w:r>
          </w:p>
        </w:tc>
        <w:tc>
          <w:tcPr>
            <w:tcW w:type="dxa" w:w="1504"/>
          </w:tcPr>
          <w:p>
            <w:pPr>
              <w:spacing w:after="0" w:before="0"/>
              <w:jc w:val="left"/>
            </w:pPr>
            <w:r/>
            <w:r>
              <w:rPr>
                <w:rFonts w:ascii="Times New Roman" w:hAnsi="Times New Roman"/>
                <w:b/>
                <w:sz w:val="18"/>
              </w:rPr>
              <w:t>Power, permutation test (fitted dispersion)</w:t>
            </w:r>
          </w:p>
        </w:tc>
        <w:tc>
          <w:tcPr>
            <w:tcW w:type="dxa" w:w="1504"/>
          </w:tcPr>
          <w:p>
            <w:pPr>
              <w:spacing w:after="0" w:before="0"/>
              <w:jc w:val="left"/>
            </w:pPr>
            <w:r/>
            <w:r>
              <w:rPr>
                <w:rFonts w:ascii="Times New Roman" w:hAnsi="Times New Roman"/>
                <w:b/>
                <w:sz w:val="18"/>
              </w:rPr>
              <w:t>Replicates</w:t>
            </w:r>
          </w:p>
        </w:tc>
        <w:tc>
          <w:tcPr>
            <w:tcW w:type="dxa" w:w="1504"/>
          </w:tcPr>
          <w:p>
            <w:pPr>
              <w:spacing w:after="0" w:before="0"/>
              <w:jc w:val="left"/>
            </w:pPr>
            <w:r/>
            <w:r>
              <w:rPr>
                <w:rFonts w:ascii="Times New Roman" w:hAnsi="Times New Roman"/>
                <w:b/>
                <w:sz w:val="18"/>
              </w:rPr>
              <w:t>Model-based test, calibrated variance (nominal)</w:t>
            </w:r>
          </w:p>
        </w:tc>
        <w:tc>
          <w:tcPr>
            <w:tcW w:type="dxa" w:w="1504"/>
          </w:tcPr>
          <w:p>
            <w:pPr>
              <w:spacing w:after="0" w:before="0"/>
              <w:jc w:val="left"/>
            </w:pPr>
            <w:r/>
            <w:r>
              <w:rPr>
                <w:rFonts w:ascii="Times New Roman" w:hAnsi="Times New Roman"/>
                <w:b/>
                <w:sz w:val="18"/>
              </w:rPr>
              <w:t>Permutation test, calibrated variance</w:t>
            </w:r>
          </w:p>
        </w:tc>
      </w:tr>
      <w:tr>
        <w:tc>
          <w:tcPr>
            <w:tcW w:type="dxa" w:w="1504"/>
          </w:tcPr>
          <w:p>
            <w:pPr>
              <w:spacing w:after="0" w:before="0"/>
              <w:jc w:val="left"/>
            </w:pPr>
            <w:r/>
            <w:r>
              <w:rPr>
                <w:rFonts w:ascii="Times New Roman" w:hAnsi="Times New Roman"/>
                <w:sz w:val="18"/>
              </w:rPr>
              <w:t>1.10</w:t>
            </w:r>
          </w:p>
        </w:tc>
        <w:tc>
          <w:tcPr>
            <w:tcW w:type="dxa" w:w="1504"/>
          </w:tcPr>
          <w:p>
            <w:pPr>
              <w:spacing w:after="0" w:before="0"/>
              <w:jc w:val="left"/>
            </w:pPr>
            <w:r/>
            <w:r>
              <w:rPr>
                <w:rFonts w:ascii="Times New Roman" w:hAnsi="Times New Roman"/>
                <w:sz w:val="18"/>
              </w:rPr>
              <w:t>0.402 ± 0.0069</w:t>
            </w:r>
          </w:p>
        </w:tc>
        <w:tc>
          <w:tcPr>
            <w:tcW w:type="dxa" w:w="1504"/>
          </w:tcPr>
          <w:p>
            <w:pPr>
              <w:spacing w:after="0" w:before="0"/>
              <w:jc w:val="left"/>
            </w:pPr>
            <w:r/>
            <w:r>
              <w:rPr>
                <w:rFonts w:ascii="Times New Roman" w:hAnsi="Times New Roman"/>
                <w:sz w:val="18"/>
              </w:rPr>
              <w:t>0.092 ± 0.0041</w:t>
            </w:r>
          </w:p>
        </w:tc>
        <w:tc>
          <w:tcPr>
            <w:tcW w:type="dxa" w:w="1504"/>
          </w:tcPr>
          <w:p>
            <w:pPr>
              <w:spacing w:after="0" w:before="0"/>
              <w:jc w:val="left"/>
            </w:pPr>
            <w:r/>
            <w:r>
              <w:rPr>
                <w:rFonts w:ascii="Times New Roman" w:hAnsi="Times New Roman"/>
                <w:sz w:val="18"/>
              </w:rPr>
              <w:t>5,000</w:t>
            </w:r>
          </w:p>
        </w:tc>
        <w:tc>
          <w:tcPr>
            <w:tcW w:type="dxa" w:w="1504"/>
          </w:tcPr>
          <w:p>
            <w:pPr>
              <w:spacing w:after="0" w:before="0"/>
              <w:jc w:val="left"/>
            </w:pPr>
            <w:r/>
            <w:r>
              <w:rPr>
                <w:rFonts w:ascii="Times New Roman" w:hAnsi="Times New Roman"/>
                <w:sz w:val="18"/>
              </w:rPr>
              <w:t>0.429</w:t>
            </w:r>
          </w:p>
        </w:tc>
        <w:tc>
          <w:tcPr>
            <w:tcW w:type="dxa" w:w="1504"/>
          </w:tcPr>
          <w:p>
            <w:pPr>
              <w:spacing w:after="0" w:before="0"/>
              <w:jc w:val="left"/>
            </w:pPr>
            <w:r/>
            <w:r>
              <w:rPr>
                <w:rFonts w:ascii="Times New Roman" w:hAnsi="Times New Roman"/>
                <w:sz w:val="18"/>
              </w:rPr>
              <w:t>0.177</w:t>
            </w:r>
          </w:p>
        </w:tc>
      </w:tr>
      <w:tr>
        <w:tc>
          <w:tcPr>
            <w:tcW w:type="dxa" w:w="1504"/>
          </w:tcPr>
          <w:p>
            <w:pPr>
              <w:spacing w:after="0" w:before="0"/>
              <w:jc w:val="left"/>
            </w:pPr>
            <w:r/>
            <w:r>
              <w:rPr>
                <w:rFonts w:ascii="Times New Roman" w:hAnsi="Times New Roman"/>
                <w:sz w:val="18"/>
              </w:rPr>
              <w:t>1.1145</w:t>
            </w:r>
          </w:p>
        </w:tc>
        <w:tc>
          <w:tcPr>
            <w:tcW w:type="dxa" w:w="1504"/>
          </w:tcPr>
          <w:p>
            <w:pPr>
              <w:spacing w:after="0" w:before="0"/>
              <w:jc w:val="left"/>
            </w:pPr>
            <w:r/>
            <w:r>
              <w:rPr>
                <w:rFonts w:ascii="Times New Roman" w:hAnsi="Times New Roman"/>
                <w:sz w:val="18"/>
              </w:rPr>
              <w:t>0.515 ± 0.0071</w:t>
            </w:r>
          </w:p>
        </w:tc>
        <w:tc>
          <w:tcPr>
            <w:tcW w:type="dxa" w:w="1504"/>
          </w:tcPr>
          <w:p>
            <w:pPr>
              <w:spacing w:after="0" w:before="0"/>
              <w:jc w:val="left"/>
            </w:pPr>
            <w:r/>
            <w:r>
              <w:rPr>
                <w:rFonts w:ascii="Times New Roman" w:hAnsi="Times New Roman"/>
                <w:sz w:val="18"/>
              </w:rPr>
              <w:t>0.154 ± 0.0051</w:t>
            </w:r>
          </w:p>
        </w:tc>
        <w:tc>
          <w:tcPr>
            <w:tcW w:type="dxa" w:w="1504"/>
          </w:tcPr>
          <w:p>
            <w:pPr>
              <w:spacing w:after="0" w:before="0"/>
              <w:jc w:val="left"/>
            </w:pPr>
            <w:r/>
            <w:r>
              <w:rPr>
                <w:rFonts w:ascii="Times New Roman" w:hAnsi="Times New Roman"/>
                <w:sz w:val="18"/>
              </w:rPr>
              <w:t>5,000</w:t>
            </w:r>
          </w:p>
        </w:tc>
        <w:tc>
          <w:tcPr>
            <w:tcW w:type="dxa" w:w="1504"/>
          </w:tcPr>
          <w:p>
            <w:pPr>
              <w:spacing w:after="0" w:before="0"/>
              <w:jc w:val="left"/>
            </w:pPr>
            <w:r/>
            <w:r>
              <w:rPr>
                <w:rFonts w:ascii="Times New Roman" w:hAnsi="Times New Roman"/>
                <w:sz w:val="18"/>
              </w:rPr>
              <w:t>0.483</w:t>
            </w:r>
          </w:p>
        </w:tc>
        <w:tc>
          <w:tcPr>
            <w:tcW w:type="dxa" w:w="1504"/>
          </w:tcPr>
          <w:p>
            <w:pPr>
              <w:spacing w:after="0" w:before="0"/>
              <w:jc w:val="left"/>
            </w:pPr>
            <w:r/>
            <w:r>
              <w:rPr>
                <w:rFonts w:ascii="Times New Roman" w:hAnsi="Times New Roman"/>
                <w:sz w:val="18"/>
              </w:rPr>
              <w:t>0.220</w:t>
            </w:r>
          </w:p>
        </w:tc>
      </w:tr>
      <w:tr>
        <w:tc>
          <w:tcPr>
            <w:tcW w:type="dxa" w:w="1504"/>
          </w:tcPr>
          <w:p>
            <w:pPr>
              <w:spacing w:after="0" w:before="0"/>
              <w:jc w:val="left"/>
            </w:pPr>
            <w:r/>
            <w:r>
              <w:rPr>
                <w:rFonts w:ascii="Times New Roman" w:hAnsi="Times New Roman"/>
                <w:sz w:val="18"/>
              </w:rPr>
              <w:t>1.15</w:t>
            </w:r>
          </w:p>
        </w:tc>
        <w:tc>
          <w:tcPr>
            <w:tcW w:type="dxa" w:w="1504"/>
          </w:tcPr>
          <w:p>
            <w:pPr>
              <w:spacing w:after="0" w:before="0"/>
              <w:jc w:val="left"/>
            </w:pPr>
            <w:r/>
            <w:r>
              <w:rPr>
                <w:rFonts w:ascii="Times New Roman" w:hAnsi="Times New Roman"/>
                <w:sz w:val="18"/>
              </w:rPr>
              <w:t>0.711 ± 0.0064</w:t>
            </w:r>
          </w:p>
        </w:tc>
        <w:tc>
          <w:tcPr>
            <w:tcW w:type="dxa" w:w="1504"/>
          </w:tcPr>
          <w:p>
            <w:pPr>
              <w:spacing w:after="0" w:before="0"/>
              <w:jc w:val="left"/>
            </w:pPr>
            <w:r/>
            <w:r>
              <w:rPr>
                <w:rFonts w:ascii="Times New Roman" w:hAnsi="Times New Roman"/>
                <w:sz w:val="18"/>
              </w:rPr>
              <w:t>0.309 ± 0.0065</w:t>
            </w:r>
          </w:p>
        </w:tc>
        <w:tc>
          <w:tcPr>
            <w:tcW w:type="dxa" w:w="1504"/>
          </w:tcPr>
          <w:p>
            <w:pPr>
              <w:spacing w:after="0" w:before="0"/>
              <w:jc w:val="left"/>
            </w:pPr>
            <w:r/>
            <w:r>
              <w:rPr>
                <w:rFonts w:ascii="Times New Roman" w:hAnsi="Times New Roman"/>
                <w:sz w:val="18"/>
              </w:rPr>
              <w:t>5,000</w:t>
            </w:r>
          </w:p>
        </w:tc>
        <w:tc>
          <w:tcPr>
            <w:tcW w:type="dxa" w:w="1504"/>
          </w:tcPr>
          <w:p>
            <w:pPr>
              <w:spacing w:after="0" w:before="0"/>
              <w:jc w:val="left"/>
            </w:pPr>
            <w:r/>
            <w:r>
              <w:rPr>
                <w:rFonts w:ascii="Times New Roman" w:hAnsi="Times New Roman"/>
                <w:sz w:val="18"/>
              </w:rPr>
              <w:t>0.651</w:t>
            </w:r>
          </w:p>
        </w:tc>
        <w:tc>
          <w:tcPr>
            <w:tcW w:type="dxa" w:w="1504"/>
          </w:tcPr>
          <w:p>
            <w:pPr>
              <w:spacing w:after="0" w:before="0"/>
              <w:jc w:val="left"/>
            </w:pPr>
            <w:r/>
            <w:r>
              <w:rPr>
                <w:rFonts w:ascii="Times New Roman" w:hAnsi="Times New Roman"/>
                <w:sz w:val="18"/>
              </w:rPr>
              <w:t>0.358</w:t>
            </w:r>
          </w:p>
        </w:tc>
      </w:tr>
      <w:tr>
        <w:tc>
          <w:tcPr>
            <w:tcW w:type="dxa" w:w="1504"/>
          </w:tcPr>
          <w:p>
            <w:pPr>
              <w:spacing w:after="0" w:before="0"/>
              <w:jc w:val="left"/>
            </w:pPr>
            <w:r/>
            <w:r>
              <w:rPr>
                <w:rFonts w:ascii="Times New Roman" w:hAnsi="Times New Roman"/>
                <w:sz w:val="18"/>
              </w:rPr>
              <w:t>1.25</w:t>
            </w:r>
          </w:p>
        </w:tc>
        <w:tc>
          <w:tcPr>
            <w:tcW w:type="dxa" w:w="1504"/>
          </w:tcPr>
          <w:p>
            <w:pPr>
              <w:spacing w:after="0" w:before="0"/>
              <w:jc w:val="left"/>
            </w:pPr>
            <w:r/>
            <w:r>
              <w:rPr>
                <w:rFonts w:ascii="Times New Roman" w:hAnsi="Times New Roman"/>
                <w:sz w:val="18"/>
              </w:rPr>
              <w:t>0.982 ± 0.0019</w:t>
            </w:r>
          </w:p>
        </w:tc>
        <w:tc>
          <w:tcPr>
            <w:tcW w:type="dxa" w:w="1504"/>
          </w:tcPr>
          <w:p>
            <w:pPr>
              <w:spacing w:after="0" w:before="0"/>
              <w:jc w:val="left"/>
            </w:pPr>
            <w:r/>
            <w:r>
              <w:rPr>
                <w:rFonts w:ascii="Times New Roman" w:hAnsi="Times New Roman"/>
                <w:sz w:val="18"/>
              </w:rPr>
              <w:t>0.852 ± 0.0050</w:t>
            </w:r>
          </w:p>
        </w:tc>
        <w:tc>
          <w:tcPr>
            <w:tcW w:type="dxa" w:w="1504"/>
          </w:tcPr>
          <w:p>
            <w:pPr>
              <w:spacing w:after="0" w:before="0"/>
              <w:jc w:val="left"/>
            </w:pPr>
            <w:r/>
            <w:r>
              <w:rPr>
                <w:rFonts w:ascii="Times New Roman" w:hAnsi="Times New Roman"/>
                <w:sz w:val="18"/>
              </w:rPr>
              <w:t>5,000</w:t>
            </w:r>
          </w:p>
        </w:tc>
        <w:tc>
          <w:tcPr>
            <w:tcW w:type="dxa" w:w="1504"/>
          </w:tcPr>
          <w:p>
            <w:pPr>
              <w:spacing w:after="0" w:before="0"/>
              <w:jc w:val="left"/>
            </w:pPr>
            <w:r/>
            <w:r>
              <w:rPr>
                <w:rFonts w:ascii="Times New Roman" w:hAnsi="Times New Roman"/>
                <w:sz w:val="18"/>
              </w:rPr>
              <w:t>0.916</w:t>
            </w:r>
          </w:p>
        </w:tc>
        <w:tc>
          <w:tcPr>
            <w:tcW w:type="dxa" w:w="1504"/>
          </w:tcPr>
          <w:p>
            <w:pPr>
              <w:spacing w:after="0" w:before="0"/>
              <w:jc w:val="left"/>
            </w:pPr>
            <w:r/>
            <w:r>
              <w:rPr>
                <w:rFonts w:ascii="Times New Roman" w:hAnsi="Times New Roman"/>
                <w:sz w:val="18"/>
              </w:rPr>
              <w:t>0.757</w:t>
            </w:r>
          </w:p>
        </w:tc>
      </w:tr>
      <w:tr>
        <w:tc>
          <w:tcPr>
            <w:tcW w:type="dxa" w:w="1504"/>
          </w:tcPr>
          <w:p>
            <w:pPr>
              <w:spacing w:after="0" w:before="0"/>
              <w:jc w:val="left"/>
            </w:pPr>
            <w:r/>
            <w:r>
              <w:rPr>
                <w:rFonts w:ascii="Times New Roman" w:hAnsi="Times New Roman"/>
                <w:sz w:val="18"/>
              </w:rPr>
              <w:t>1.00 (size)</w:t>
            </w:r>
          </w:p>
        </w:tc>
        <w:tc>
          <w:tcPr>
            <w:tcW w:type="dxa" w:w="1504"/>
          </w:tcPr>
          <w:p>
            <w:pPr>
              <w:spacing w:after="0" w:before="0"/>
              <w:jc w:val="left"/>
            </w:pPr>
            <w:r/>
            <w:r>
              <w:rPr>
                <w:rFonts w:ascii="Times New Roman" w:hAnsi="Times New Roman"/>
                <w:sz w:val="18"/>
              </w:rPr>
              <w:t>—</w:t>
            </w:r>
          </w:p>
        </w:tc>
        <w:tc>
          <w:tcPr>
            <w:tcW w:type="dxa" w:w="1504"/>
          </w:tcPr>
          <w:p>
            <w:pPr>
              <w:spacing w:after="0" w:before="0"/>
              <w:jc w:val="left"/>
            </w:pPr>
            <w:r/>
            <w:r>
              <w:rPr>
                <w:rFonts w:ascii="Times New Roman" w:hAnsi="Times New Roman"/>
                <w:sz w:val="18"/>
              </w:rPr>
              <w:t>—</w:t>
            </w:r>
          </w:p>
        </w:tc>
        <w:tc>
          <w:tcPr>
            <w:tcW w:type="dxa" w:w="1504"/>
          </w:tcPr>
          <w:p>
            <w:pPr>
              <w:spacing w:after="0" w:before="0"/>
              <w:jc w:val="left"/>
            </w:pPr>
            <w:r/>
            <w:r>
              <w:rPr>
                <w:rFonts w:ascii="Times New Roman" w:hAnsi="Times New Roman"/>
                <w:sz w:val="18"/>
              </w:rPr>
              <w:t>—</w:t>
            </w:r>
          </w:p>
        </w:tc>
        <w:tc>
          <w:tcPr>
            <w:tcW w:type="dxa" w:w="1504"/>
          </w:tcPr>
          <w:p>
            <w:pPr>
              <w:spacing w:after="0" w:before="0"/>
              <w:jc w:val="left"/>
            </w:pPr>
            <w:r/>
            <w:r>
              <w:rPr>
                <w:rFonts w:ascii="Times New Roman" w:hAnsi="Times New Roman"/>
                <w:sz w:val="18"/>
              </w:rPr>
              <w:t>0.069</w:t>
            </w:r>
          </w:p>
        </w:tc>
        <w:tc>
          <w:tcPr>
            <w:tcW w:type="dxa" w:w="1504"/>
          </w:tcPr>
          <w:p>
            <w:pPr>
              <w:spacing w:after="0" w:before="0"/>
              <w:jc w:val="left"/>
            </w:pPr>
            <w:r/>
            <w:r>
              <w:rPr>
                <w:rFonts w:ascii="Times New Roman" w:hAnsi="Times New Roman"/>
                <w:sz w:val="18"/>
              </w:rPr>
              <w:t>0.013</w:t>
            </w:r>
          </w:p>
        </w:tc>
      </w:tr>
      <w:tr>
        <w:tc>
          <w:tcPr>
            <w:tcW w:type="dxa" w:w="1504"/>
          </w:tcPr>
          <w:p>
            <w:pPr>
              <w:spacing w:after="0" w:before="0"/>
              <w:jc w:val="left"/>
            </w:pPr>
            <w:r/>
            <w:r>
              <w:rPr>
                <w:rFonts w:ascii="Times New Roman" w:hAnsi="Times New Roman"/>
                <w:sz w:val="18"/>
              </w:rPr>
              <w:t>1.50</w:t>
            </w:r>
          </w:p>
        </w:tc>
        <w:tc>
          <w:tcPr>
            <w:tcW w:type="dxa" w:w="1504"/>
          </w:tcPr>
          <w:p>
            <w:pPr>
              <w:spacing w:after="0" w:before="0"/>
              <w:jc w:val="left"/>
            </w:pPr>
            <w:r/>
            <w:r>
              <w:rPr>
                <w:rFonts w:ascii="Times New Roman" w:hAnsi="Times New Roman"/>
                <w:sz w:val="18"/>
              </w:rPr>
              <w:t>1.000 ± 0.0000</w:t>
            </w:r>
          </w:p>
        </w:tc>
        <w:tc>
          <w:tcPr>
            <w:tcW w:type="dxa" w:w="1504"/>
          </w:tcPr>
          <w:p>
            <w:pPr>
              <w:spacing w:after="0" w:before="0"/>
              <w:jc w:val="left"/>
            </w:pPr>
            <w:r/>
            <w:r>
              <w:rPr>
                <w:rFonts w:ascii="Times New Roman" w:hAnsi="Times New Roman"/>
                <w:sz w:val="18"/>
              </w:rPr>
              <w:t>1.000 ± 0.0000</w:t>
            </w:r>
          </w:p>
        </w:tc>
        <w:tc>
          <w:tcPr>
            <w:tcW w:type="dxa" w:w="1504"/>
          </w:tcPr>
          <w:p>
            <w:pPr>
              <w:spacing w:after="0" w:before="0"/>
              <w:jc w:val="left"/>
            </w:pPr>
            <w:r/>
            <w:r>
              <w:rPr>
                <w:rFonts w:ascii="Times New Roman" w:hAnsi="Times New Roman"/>
                <w:sz w:val="18"/>
              </w:rPr>
              <w:t>5,000</w:t>
            </w:r>
          </w:p>
        </w:tc>
        <w:tc>
          <w:tcPr>
            <w:tcW w:type="dxa" w:w="1504"/>
          </w:tcPr>
          <w:p>
            <w:pPr>
              <w:spacing w:after="0" w:before="0"/>
              <w:jc w:val="left"/>
            </w:pPr>
            <w:r/>
            <w:r>
              <w:rPr>
                <w:rFonts w:ascii="Times New Roman" w:hAnsi="Times New Roman"/>
                <w:sz w:val="18"/>
              </w:rPr>
              <w:t>1.000</w:t>
            </w:r>
          </w:p>
        </w:tc>
        <w:tc>
          <w:tcPr>
            <w:tcW w:type="dxa" w:w="1504"/>
          </w:tcPr>
          <w:p>
            <w:pPr>
              <w:spacing w:after="0" w:before="0"/>
              <w:jc w:val="left"/>
            </w:pPr>
            <w:r/>
            <w:r>
              <w:rPr>
                <w:rFonts w:ascii="Times New Roman" w:hAnsi="Times New Roman"/>
                <w:sz w:val="18"/>
              </w:rPr>
              <w:t>0.999</w:t>
            </w:r>
          </w:p>
        </w:tc>
      </w:tr>
    </w:tbl>
    <w:p/>
    <w:p>
      <w:pPr>
        <w:spacing w:after="120"/>
      </w:pPr>
      <w:r>
        <w:rPr>
          <w:b w:val="0"/>
          <w:i w:val="0"/>
        </w:rPr>
        <w:t>Table S3. Prior power of the model-based and permutation tests at pre-specified true effects. The first two power columns simulate outcomes from a negative binomial with the fitted dispersion of the consortium-excluded design (5,000 replicates per cell; ± values are Monte Carlo standard errors; seed 20260812), and are retained for comparison. The last two use the dispersion inflated to reproduce the empirical coefficient variance (2,000 replicates; Monte Carlo standard error ≤ 0.0112; seed 20260812 with the calibrated multiplier). The permutation critical value is the empirical 95th percentile of the absolute park coefficient over 5,000 label permutations (seed 20260811). Power at true IRR 1.50 is 1.000 to within Monte Carlo error.</w:t>
      </w:r>
    </w:p>
    <w:p>
      <w:pPr>
        <w:pStyle w:val="2"/>
      </w:pPr>
      <w:r>
        <w:rPr>
          <w:b w:val="0"/>
          <w:i w:val="0"/>
        </w:rPr>
        <w:t>S7 Fractional counting</w:t>
      </w:r>
    </w:p>
    <w:p>
      <w:pPr/>
      <w:r>
        <w:rPr>
          <w:b w:val="0"/>
          <w:i w:val="0"/>
        </w:rPr>
        <w:t>Whole counting treats every institution pair on a work as an independent tie, so a work listing k institutions contributes k(k−1)/2 edges. Fractional counting weights each of those ties by 1/(k−1) and leaves every work in the corpus (Newman, 2001). The k−1 ties of an institution on one work then sum to 1, so its fractional degree is exactly its number of multi-institution works, the unprojected, two-mode count. Fractional counting therefore changes the outcome rather than the sample (mean 8.53 against 11.95 distinct partners; Table S4). On that outcome the park premium is 38.0% smaller on the log scale and does not meet the permutation standard. The paired institution-bootstrap reduction is 0.08 [−0.07, 0.27], positive in 85% of resamples, which I report as a comparison between two outcomes and not as a decomposition of one. I fit the negative binomial to the non-integer outcome by the GLM likelihood, with the dispersion parameter estimated on the rounded outcome.</w:t>
      </w:r>
    </w:p>
    <w:tbl>
      <w:tblPr>
        <w:tblW w:type="auto" w:w="0"/>
        <w:tblLayout w:type="autofit"/>
        <w:tblLook w:firstColumn="1" w:firstRow="1" w:lastColumn="0" w:lastRow="0" w:noHBand="0" w:noVBand="1" w:val="04A0"/>
        <w:tblBorders>
          <w:top w:val="single" w:sz="4" w:space="0" w:color="000000"/>
          <w:bottom w:val="single" w:sz="4" w:space="0" w:color="000000"/>
          <w:insideH w:val="single" w:sz="4" w:space="0" w:color="000000"/>
          <w:left w:val="nil"/>
          <w:right w:val="nil"/>
          <w:insideV w:val="nil"/>
        </w:tblBorders>
      </w:tblPr>
      <w:tblGrid>
        <w:gridCol w:w="1289"/>
        <w:gridCol w:w="1289"/>
        <w:gridCol w:w="1289"/>
        <w:gridCol w:w="1289"/>
        <w:gridCol w:w="1289"/>
        <w:gridCol w:w="1289"/>
        <w:gridCol w:w="1289"/>
      </w:tblGrid>
      <w:tr>
        <w:tc>
          <w:tcPr>
            <w:tcW w:type="dxa" w:w="1289"/>
          </w:tcPr>
          <w:p>
            <w:pPr>
              <w:spacing w:after="0" w:before="0"/>
              <w:jc w:val="left"/>
            </w:pPr>
            <w:r/>
            <w:r>
              <w:rPr>
                <w:rFonts w:ascii="Times New Roman" w:hAnsi="Times New Roman"/>
                <w:b/>
                <w:sz w:val="18"/>
              </w:rPr>
              <w:t>Counting method</w:t>
            </w:r>
          </w:p>
        </w:tc>
        <w:tc>
          <w:tcPr>
            <w:tcW w:type="dxa" w:w="1289"/>
          </w:tcPr>
          <w:p>
            <w:pPr>
              <w:spacing w:after="0" w:before="0"/>
              <w:jc w:val="left"/>
            </w:pPr>
            <w:r/>
            <w:r>
              <w:rPr>
                <w:rFonts w:ascii="Times New Roman" w:hAnsi="Times New Roman"/>
                <w:b/>
                <w:sz w:val="18"/>
              </w:rPr>
              <w:t>Mean degree</w:t>
            </w:r>
          </w:p>
        </w:tc>
        <w:tc>
          <w:tcPr>
            <w:tcW w:type="dxa" w:w="1289"/>
          </w:tcPr>
          <w:p>
            <w:pPr>
              <w:spacing w:after="0" w:before="0"/>
              <w:jc w:val="left"/>
            </w:pPr>
            <w:r/>
            <w:r>
              <w:rPr>
                <w:rFonts w:ascii="Times New Roman" w:hAnsi="Times New Roman"/>
                <w:b/>
                <w:sz w:val="18"/>
              </w:rPr>
              <w:t>IRR</w:t>
            </w:r>
          </w:p>
        </w:tc>
        <w:tc>
          <w:tcPr>
            <w:tcW w:type="dxa" w:w="1289"/>
          </w:tcPr>
          <w:p>
            <w:pPr>
              <w:spacing w:after="0" w:before="0"/>
              <w:jc w:val="left"/>
            </w:pPr>
            <w:r/>
            <w:r>
              <w:rPr>
                <w:rFonts w:ascii="Times New Roman" w:hAnsi="Times New Roman"/>
                <w:b/>
                <w:sz w:val="18"/>
              </w:rPr>
              <w:t>95% CI</w:t>
            </w:r>
          </w:p>
        </w:tc>
        <w:tc>
          <w:tcPr>
            <w:tcW w:type="dxa" w:w="1289"/>
          </w:tcPr>
          <w:p>
            <w:pPr>
              <w:spacing w:after="0" w:before="0"/>
              <w:jc w:val="left"/>
            </w:pPr>
            <w:r/>
            <w:r>
              <w:rPr>
                <w:rFonts w:ascii="Times New Roman" w:hAnsi="Times New Roman"/>
                <w:b/>
                <w:sz w:val="18"/>
              </w:rPr>
              <w:t>Model p</w:t>
            </w:r>
          </w:p>
        </w:tc>
        <w:tc>
          <w:tcPr>
            <w:tcW w:type="dxa" w:w="1289"/>
          </w:tcPr>
          <w:p>
            <w:pPr>
              <w:spacing w:after="0" w:before="0"/>
              <w:jc w:val="left"/>
            </w:pPr>
            <w:r/>
            <w:r>
              <w:rPr>
                <w:rFonts w:ascii="Times New Roman" w:hAnsi="Times New Roman"/>
                <w:b/>
                <w:sz w:val="18"/>
              </w:rPr>
              <w:t>Permutation p</w:t>
            </w:r>
          </w:p>
        </w:tc>
        <w:tc>
          <w:tcPr>
            <w:tcW w:type="dxa" w:w="1289"/>
          </w:tcPr>
          <w:p>
            <w:pPr>
              <w:spacing w:after="0" w:before="0"/>
              <w:jc w:val="left"/>
            </w:pPr>
            <w:r/>
            <w:r>
              <w:rPr>
                <w:rFonts w:ascii="Times New Roman" w:hAnsi="Times New Roman"/>
                <w:b/>
                <w:sz w:val="18"/>
              </w:rPr>
              <w:t>Log-effect removed</w:t>
            </w:r>
          </w:p>
        </w:tc>
      </w:tr>
      <w:tr>
        <w:tc>
          <w:tcPr>
            <w:tcW w:type="dxa" w:w="1289"/>
          </w:tcPr>
          <w:p>
            <w:pPr>
              <w:spacing w:after="0" w:before="0"/>
              <w:jc w:val="left"/>
            </w:pPr>
            <w:r/>
            <w:r>
              <w:rPr>
                <w:rFonts w:ascii="Times New Roman" w:hAnsi="Times New Roman"/>
                <w:sz w:val="18"/>
              </w:rPr>
              <w:t>Whole (headline)</w:t>
            </w:r>
          </w:p>
        </w:tc>
        <w:tc>
          <w:tcPr>
            <w:tcW w:type="dxa" w:w="1289"/>
          </w:tcPr>
          <w:p>
            <w:pPr>
              <w:spacing w:after="0" w:before="0"/>
              <w:jc w:val="left"/>
            </w:pPr>
            <w:r/>
            <w:r>
              <w:rPr>
                <w:rFonts w:ascii="Times New Roman" w:hAnsi="Times New Roman"/>
                <w:sz w:val="18"/>
              </w:rPr>
              <w:t>11.95</w:t>
            </w:r>
          </w:p>
        </w:tc>
        <w:tc>
          <w:tcPr>
            <w:tcW w:type="dxa" w:w="1289"/>
          </w:tcPr>
          <w:p>
            <w:pPr>
              <w:spacing w:after="0" w:before="0"/>
              <w:jc w:val="left"/>
            </w:pPr>
            <w:r/>
            <w:r>
              <w:rPr>
                <w:rFonts w:ascii="Times New Roman" w:hAnsi="Times New Roman"/>
                <w:sz w:val="18"/>
              </w:rPr>
              <w:t>1.2348</w:t>
            </w:r>
          </w:p>
        </w:tc>
        <w:tc>
          <w:tcPr>
            <w:tcW w:type="dxa" w:w="1289"/>
          </w:tcPr>
          <w:p>
            <w:pPr>
              <w:spacing w:after="0" w:before="0"/>
              <w:jc w:val="left"/>
            </w:pPr>
            <w:r/>
            <w:r>
              <w:rPr>
                <w:rFonts w:ascii="Times New Roman" w:hAnsi="Times New Roman"/>
                <w:sz w:val="18"/>
              </w:rPr>
              <w:t>[1.109, 1.375]</w:t>
            </w:r>
          </w:p>
        </w:tc>
        <w:tc>
          <w:tcPr>
            <w:tcW w:type="dxa" w:w="1289"/>
          </w:tcPr>
          <w:p>
            <w:pPr>
              <w:spacing w:after="0" w:before="0"/>
              <w:jc w:val="left"/>
            </w:pPr>
            <w:r/>
            <w:r>
              <w:rPr>
                <w:rFonts w:ascii="Times New Roman" w:hAnsi="Times New Roman"/>
                <w:sz w:val="18"/>
              </w:rPr>
              <w:t>.00012</w:t>
            </w:r>
          </w:p>
        </w:tc>
        <w:tc>
          <w:tcPr>
            <w:tcW w:type="dxa" w:w="1289"/>
          </w:tcPr>
          <w:p>
            <w:pPr>
              <w:spacing w:after="0" w:before="0"/>
              <w:jc w:val="left"/>
            </w:pPr>
            <w:r/>
            <w:r>
              <w:rPr>
                <w:rFonts w:ascii="Times New Roman" w:hAnsi="Times New Roman"/>
                <w:sz w:val="18"/>
              </w:rPr>
              <w:t>.0088</w:t>
            </w:r>
          </w:p>
        </w:tc>
        <w:tc>
          <w:tcPr>
            <w:tcW w:type="dxa" w:w="1289"/>
          </w:tcPr>
          <w:p>
            <w:pPr>
              <w:spacing w:after="0" w:before="0"/>
              <w:jc w:val="left"/>
            </w:pPr>
            <w:r/>
            <w:r>
              <w:rPr>
                <w:rFonts w:ascii="Times New Roman" w:hAnsi="Times New Roman"/>
                <w:sz w:val="18"/>
              </w:rPr>
              <w:t>—</w:t>
            </w:r>
          </w:p>
        </w:tc>
      </w:tr>
      <w:tr>
        <w:tc>
          <w:tcPr>
            <w:tcW w:type="dxa" w:w="1289"/>
          </w:tcPr>
          <w:p>
            <w:pPr>
              <w:spacing w:after="0" w:before="0"/>
              <w:jc w:val="left"/>
            </w:pPr>
            <w:r/>
            <w:r>
              <w:rPr>
                <w:rFonts w:ascii="Times New Roman" w:hAnsi="Times New Roman"/>
                <w:sz w:val="18"/>
              </w:rPr>
              <w:t>Fractional, 1/(k−1)</w:t>
            </w:r>
          </w:p>
        </w:tc>
        <w:tc>
          <w:tcPr>
            <w:tcW w:type="dxa" w:w="1289"/>
          </w:tcPr>
          <w:p>
            <w:pPr>
              <w:spacing w:after="0" w:before="0"/>
              <w:jc w:val="left"/>
            </w:pPr>
            <w:r/>
            <w:r>
              <w:rPr>
                <w:rFonts w:ascii="Times New Roman" w:hAnsi="Times New Roman"/>
                <w:sz w:val="18"/>
              </w:rPr>
              <w:t>8.53</w:t>
            </w:r>
          </w:p>
        </w:tc>
        <w:tc>
          <w:tcPr>
            <w:tcW w:type="dxa" w:w="1289"/>
          </w:tcPr>
          <w:p>
            <w:pPr>
              <w:spacing w:after="0" w:before="0"/>
              <w:jc w:val="left"/>
            </w:pPr>
            <w:r/>
            <w:r>
              <w:rPr>
                <w:rFonts w:ascii="Times New Roman" w:hAnsi="Times New Roman"/>
                <w:sz w:val="18"/>
              </w:rPr>
              <w:t>1.1396</w:t>
            </w:r>
          </w:p>
        </w:tc>
        <w:tc>
          <w:tcPr>
            <w:tcW w:type="dxa" w:w="1289"/>
          </w:tcPr>
          <w:p>
            <w:pPr>
              <w:spacing w:after="0" w:before="0"/>
              <w:jc w:val="left"/>
            </w:pPr>
            <w:r/>
            <w:r>
              <w:rPr>
                <w:rFonts w:ascii="Times New Roman" w:hAnsi="Times New Roman"/>
                <w:sz w:val="18"/>
              </w:rPr>
              <w:t>[1.006, 1.291]</w:t>
            </w:r>
          </w:p>
        </w:tc>
        <w:tc>
          <w:tcPr>
            <w:tcW w:type="dxa" w:w="1289"/>
          </w:tcPr>
          <w:p>
            <w:pPr>
              <w:spacing w:after="0" w:before="0"/>
              <w:jc w:val="left"/>
            </w:pPr>
            <w:r/>
            <w:r>
              <w:rPr>
                <w:rFonts w:ascii="Times New Roman" w:hAnsi="Times New Roman"/>
                <w:sz w:val="18"/>
              </w:rPr>
              <w:t>.040</w:t>
            </w:r>
          </w:p>
        </w:tc>
        <w:tc>
          <w:tcPr>
            <w:tcW w:type="dxa" w:w="1289"/>
          </w:tcPr>
          <w:p>
            <w:pPr>
              <w:spacing w:after="0" w:before="0"/>
              <w:jc w:val="left"/>
            </w:pPr>
            <w:r/>
            <w:r>
              <w:rPr>
                <w:rFonts w:ascii="Times New Roman" w:hAnsi="Times New Roman"/>
                <w:sz w:val="18"/>
              </w:rPr>
              <w:t>.306</w:t>
            </w:r>
          </w:p>
        </w:tc>
        <w:tc>
          <w:tcPr>
            <w:tcW w:type="dxa" w:w="1289"/>
          </w:tcPr>
          <w:p>
            <w:pPr>
              <w:spacing w:after="0" w:before="0"/>
              <w:jc w:val="left"/>
            </w:pPr>
            <w:r/>
            <w:r>
              <w:rPr>
                <w:rFonts w:ascii="Times New Roman" w:hAnsi="Times New Roman"/>
                <w:sz w:val="18"/>
              </w:rPr>
              <w:t>38.0%</w:t>
            </w:r>
          </w:p>
        </w:tc>
      </w:tr>
    </w:tbl>
    <w:p/>
    <w:p>
      <w:pPr>
        <w:spacing w:after="120"/>
      </w:pPr>
      <w:r>
        <w:rPr>
          <w:b w:val="0"/>
          <w:i w:val="0"/>
        </w:rPr>
        <w:t>Table S4. The headline regression under whole and fractional counting. Neither method excludes any work. The two differ only in how a work's ties are weighted.</w:t>
      </w:r>
    </w:p>
    <w:p>
      <w:pPr>
        <w:pStyle w:val="2"/>
      </w:pPr>
      <w:r>
        <w:rPr>
          <w:b w:val="0"/>
          <w:i w:val="0"/>
        </w:rPr>
        <w:t>S8 Betweenness pivot-seed stability</w:t>
      </w:r>
    </w:p>
    <w:p>
      <w:pPr/>
      <w:r>
        <w:rPr>
          <w:b w:val="0"/>
          <w:i w:val="0"/>
        </w:rPr>
        <w:t>Betweenness on the 7,811-node weighted network is computed by pivot sampling at k = 500 rather than exactly, so the estimate depends on the pivot seed. Those nodes are the non-isolated nodes of the 8,382-institution resolved network, taken before the coordinate restriction (8,382 − 571 isolates). Table S5 reproduces the specificity check's one nominally significant result (5,000 m; S18) under four seeds. Its direction and nominal significance are stable, but its exact p-value is not, varying by more than an order of magnitude. That is a further reason the result is discounted rather than read as a signal, by its targeted permutation test (p = .066) and by family-wise correction. The adjusted threshold is .0071 at its rank in the ten-test family. Across the sweep, betweenness shows no park association at 500, 1,000, 2,000, or 3,000 m (p = .466, .095, .170, .055).</w:t>
      </w:r>
    </w:p>
    <w:tbl>
      <w:tblPr>
        <w:tblW w:type="auto" w:w="0"/>
        <w:tblLayout w:type="autofit"/>
        <w:tblLook w:firstColumn="1" w:firstRow="1" w:lastColumn="0" w:lastRow="0" w:noHBand="0" w:noVBand="1" w:val="04A0"/>
        <w:tblBorders>
          <w:top w:val="single" w:sz="4" w:space="0" w:color="000000"/>
          <w:bottom w:val="single" w:sz="4" w:space="0" w:color="000000"/>
          <w:insideH w:val="single" w:sz="4" w:space="0" w:color="000000"/>
          <w:left w:val="nil"/>
          <w:right w:val="nil"/>
          <w:insideV w:val="nil"/>
        </w:tblBorders>
      </w:tblPr>
      <w:tblGrid>
        <w:gridCol w:w="3009"/>
        <w:gridCol w:w="3009"/>
        <w:gridCol w:w="3009"/>
      </w:tblGrid>
      <w:tr>
        <w:tc>
          <w:tcPr>
            <w:tcW w:type="dxa" w:w="3009"/>
          </w:tcPr>
          <w:p>
            <w:pPr>
              <w:spacing w:after="0" w:before="0"/>
              <w:jc w:val="left"/>
            </w:pPr>
            <w:r/>
            <w:r>
              <w:rPr>
                <w:rFonts w:ascii="Times New Roman" w:hAnsi="Times New Roman"/>
                <w:b/>
                <w:sz w:val="18"/>
              </w:rPr>
              <w:t>Pivot seed</w:t>
            </w:r>
          </w:p>
        </w:tc>
        <w:tc>
          <w:tcPr>
            <w:tcW w:type="dxa" w:w="3009"/>
          </w:tcPr>
          <w:p>
            <w:pPr>
              <w:spacing w:after="0" w:before="0"/>
              <w:jc w:val="left"/>
            </w:pPr>
            <w:r/>
            <w:r>
              <w:rPr>
                <w:rFonts w:ascii="Times New Roman" w:hAnsi="Times New Roman"/>
                <w:b/>
                <w:sz w:val="18"/>
              </w:rPr>
              <w:t>Mann–Whitney p, betweenness at 5,000 m</w:t>
            </w:r>
          </w:p>
        </w:tc>
        <w:tc>
          <w:tcPr>
            <w:tcW w:type="dxa" w:w="3009"/>
          </w:tcPr>
          <w:p>
            <w:pPr>
              <w:spacing w:after="0" w:before="0"/>
              <w:jc w:val="left"/>
            </w:pPr>
            <w:r/>
            <w:r>
              <w:rPr>
                <w:rFonts w:ascii="Times New Roman" w:hAnsi="Times New Roman"/>
                <w:b/>
                <w:sz w:val="18"/>
              </w:rPr>
              <w:t>Rank-biserial r</w:t>
            </w:r>
          </w:p>
        </w:tc>
      </w:tr>
      <w:tr>
        <w:tc>
          <w:tcPr>
            <w:tcW w:type="dxa" w:w="3009"/>
          </w:tcPr>
          <w:p>
            <w:pPr>
              <w:spacing w:after="0" w:before="0"/>
              <w:jc w:val="left"/>
            </w:pPr>
            <w:r/>
            <w:r>
              <w:rPr>
                <w:rFonts w:ascii="Times New Roman" w:hAnsi="Times New Roman"/>
                <w:sz w:val="18"/>
              </w:rPr>
              <w:t>1</w:t>
            </w:r>
          </w:p>
        </w:tc>
        <w:tc>
          <w:tcPr>
            <w:tcW w:type="dxa" w:w="3009"/>
          </w:tcPr>
          <w:p>
            <w:pPr>
              <w:spacing w:after="0" w:before="0"/>
              <w:jc w:val="left"/>
            </w:pPr>
            <w:r/>
            <w:r>
              <w:rPr>
                <w:rFonts w:ascii="Times New Roman" w:hAnsi="Times New Roman"/>
                <w:sz w:val="18"/>
              </w:rPr>
              <w:t>.0084</w:t>
            </w:r>
          </w:p>
        </w:tc>
        <w:tc>
          <w:tcPr>
            <w:tcW w:type="dxa" w:w="3009"/>
          </w:tcPr>
          <w:p>
            <w:pPr>
              <w:spacing w:after="0" w:before="0"/>
              <w:jc w:val="left"/>
            </w:pPr>
            <w:r/>
            <w:r>
              <w:rPr>
                <w:rFonts w:ascii="Times New Roman" w:hAnsi="Times New Roman"/>
                <w:sz w:val="18"/>
              </w:rPr>
              <w:t>0.057</w:t>
            </w:r>
          </w:p>
        </w:tc>
      </w:tr>
      <w:tr>
        <w:tc>
          <w:tcPr>
            <w:tcW w:type="dxa" w:w="3009"/>
          </w:tcPr>
          <w:p>
            <w:pPr>
              <w:spacing w:after="0" w:before="0"/>
              <w:jc w:val="left"/>
            </w:pPr>
            <w:r/>
            <w:r>
              <w:rPr>
                <w:rFonts w:ascii="Times New Roman" w:hAnsi="Times New Roman"/>
                <w:sz w:val="18"/>
              </w:rPr>
              <w:t>7</w:t>
            </w:r>
          </w:p>
        </w:tc>
        <w:tc>
          <w:tcPr>
            <w:tcW w:type="dxa" w:w="3009"/>
          </w:tcPr>
          <w:p>
            <w:pPr>
              <w:spacing w:after="0" w:before="0"/>
              <w:jc w:val="left"/>
            </w:pPr>
            <w:r/>
            <w:r>
              <w:rPr>
                <w:rFonts w:ascii="Times New Roman" w:hAnsi="Times New Roman"/>
                <w:sz w:val="18"/>
              </w:rPr>
              <w:t>.0018</w:t>
            </w:r>
          </w:p>
        </w:tc>
        <w:tc>
          <w:tcPr>
            <w:tcW w:type="dxa" w:w="3009"/>
          </w:tcPr>
          <w:p>
            <w:pPr>
              <w:spacing w:after="0" w:before="0"/>
              <w:jc w:val="left"/>
            </w:pPr>
            <w:r/>
            <w:r>
              <w:rPr>
                <w:rFonts w:ascii="Times New Roman" w:hAnsi="Times New Roman"/>
                <w:sz w:val="18"/>
              </w:rPr>
              <w:t>0.067</w:t>
            </w:r>
          </w:p>
        </w:tc>
      </w:tr>
      <w:tr>
        <w:tc>
          <w:tcPr>
            <w:tcW w:type="dxa" w:w="3009"/>
          </w:tcPr>
          <w:p>
            <w:pPr>
              <w:spacing w:after="0" w:before="0"/>
              <w:jc w:val="left"/>
            </w:pPr>
            <w:r/>
            <w:r>
              <w:rPr>
                <w:rFonts w:ascii="Times New Roman" w:hAnsi="Times New Roman"/>
                <w:sz w:val="18"/>
              </w:rPr>
              <w:t>42</w:t>
            </w:r>
          </w:p>
        </w:tc>
        <w:tc>
          <w:tcPr>
            <w:tcW w:type="dxa" w:w="3009"/>
          </w:tcPr>
          <w:p>
            <w:pPr>
              <w:spacing w:after="0" w:before="0"/>
              <w:jc w:val="left"/>
            </w:pPr>
            <w:r/>
            <w:r>
              <w:rPr>
                <w:rFonts w:ascii="Times New Roman" w:hAnsi="Times New Roman"/>
                <w:sz w:val="18"/>
              </w:rPr>
              <w:t>.039</w:t>
            </w:r>
          </w:p>
        </w:tc>
        <w:tc>
          <w:tcPr>
            <w:tcW w:type="dxa" w:w="3009"/>
          </w:tcPr>
          <w:p>
            <w:pPr>
              <w:spacing w:after="0" w:before="0"/>
              <w:jc w:val="left"/>
            </w:pPr>
            <w:r/>
            <w:r>
              <w:rPr>
                <w:rFonts w:ascii="Times New Roman" w:hAnsi="Times New Roman"/>
                <w:sz w:val="18"/>
              </w:rPr>
              <w:t>0.044</w:t>
            </w:r>
          </w:p>
        </w:tc>
      </w:tr>
      <w:tr>
        <w:tc>
          <w:tcPr>
            <w:tcW w:type="dxa" w:w="3009"/>
          </w:tcPr>
          <w:p>
            <w:pPr>
              <w:spacing w:after="0" w:before="0"/>
              <w:jc w:val="left"/>
            </w:pPr>
            <w:r/>
            <w:r>
              <w:rPr>
                <w:rFonts w:ascii="Times New Roman" w:hAnsi="Times New Roman"/>
                <w:sz w:val="18"/>
              </w:rPr>
              <w:t>2026</w:t>
            </w:r>
          </w:p>
        </w:tc>
        <w:tc>
          <w:tcPr>
            <w:tcW w:type="dxa" w:w="3009"/>
          </w:tcPr>
          <w:p>
            <w:pPr>
              <w:spacing w:after="0" w:before="0"/>
              <w:jc w:val="left"/>
            </w:pPr>
            <w:r/>
            <w:r>
              <w:rPr>
                <w:rFonts w:ascii="Times New Roman" w:hAnsi="Times New Roman"/>
                <w:sz w:val="18"/>
              </w:rPr>
              <w:t>.0092</w:t>
            </w:r>
          </w:p>
        </w:tc>
        <w:tc>
          <w:tcPr>
            <w:tcW w:type="dxa" w:w="3009"/>
          </w:tcPr>
          <w:p>
            <w:pPr>
              <w:spacing w:after="0" w:before="0"/>
              <w:jc w:val="left"/>
            </w:pPr>
            <w:r/>
            <w:r>
              <w:rPr>
                <w:rFonts w:ascii="Times New Roman" w:hAnsi="Times New Roman"/>
                <w:sz w:val="18"/>
              </w:rPr>
              <w:t>0.056</w:t>
            </w:r>
          </w:p>
        </w:tc>
      </w:tr>
    </w:tbl>
    <w:p/>
    <w:p>
      <w:pPr>
        <w:spacing w:after="120"/>
      </w:pPr>
      <w:r>
        <w:rPr>
          <w:b w:val="0"/>
          <w:i w:val="0"/>
        </w:rPr>
        <w:t>Table S5. Betweenness specificity check under four pivot seeds. The graph has 7,811 nodes and 47,742 weighted edges, and path cost is the reciprocal of the co-occurring paper count. Two-sided Mann–Whitney U comparing park-affiliated and non-park institutions at the 5,000 m treatment radius.</w:t>
      </w:r>
    </w:p>
    <w:p>
      <w:pPr>
        <w:pStyle w:val="2"/>
      </w:pPr>
      <w:r>
        <w:rPr>
          <w:b w:val="0"/>
          <w:i w:val="0"/>
        </w:rPr>
        <w:t>S9 Country fixed effects</w:t>
      </w:r>
    </w:p>
    <w:p>
      <w:pPr/>
      <w:r>
        <w:rPr>
          <w:b w:val="0"/>
          <w:i w:val="0"/>
        </w:rPr>
        <w:t>I assign a country to each standardized institution by majority vote over the country codes attached to its constituent affiliation records. All countries represented in the analysis frame are entered, and no collapsing threshold is applied, so the specification carries no free parameter (Table S6). Variance inflation factors remain low (park 1.123, local density 1.340, station distance 1.284, motorway distance 1.285). Country fixed effects absorb between-country composition only. This specification does not address the within-country siting confound named by H2 (S17). Its inferential complement is the country-stratified permutation reported in S18 (p = .0280 at the headline specification and .1868 on the consortium-excluded network; seed 20260814).</w:t>
      </w:r>
    </w:p>
    <w:tbl>
      <w:tblPr>
        <w:tblW w:type="auto" w:w="0"/>
        <w:tblLayout w:type="autofit"/>
        <w:tblLook w:firstColumn="1" w:firstRow="1" w:lastColumn="0" w:lastRow="0" w:noHBand="0" w:noVBand="1" w:val="04A0"/>
        <w:tblBorders>
          <w:top w:val="single" w:sz="4" w:space="0" w:color="000000"/>
          <w:bottom w:val="single" w:sz="4" w:space="0" w:color="000000"/>
          <w:insideH w:val="single" w:sz="4" w:space="0" w:color="000000"/>
          <w:left w:val="nil"/>
          <w:right w:val="nil"/>
          <w:insideV w:val="nil"/>
        </w:tblBorders>
      </w:tblPr>
      <w:tblGrid>
        <w:gridCol w:w="1289"/>
        <w:gridCol w:w="1289"/>
        <w:gridCol w:w="1289"/>
        <w:gridCol w:w="1289"/>
        <w:gridCol w:w="1289"/>
        <w:gridCol w:w="1289"/>
        <w:gridCol w:w="1289"/>
      </w:tblGrid>
      <w:tr>
        <w:tc>
          <w:tcPr>
            <w:tcW w:type="dxa" w:w="1289"/>
          </w:tcPr>
          <w:p>
            <w:pPr>
              <w:spacing w:after="0" w:before="0"/>
              <w:jc w:val="left"/>
            </w:pPr>
            <w:r/>
            <w:r>
              <w:rPr>
                <w:rFonts w:ascii="Times New Roman" w:hAnsi="Times New Roman"/>
                <w:b/>
                <w:sz w:val="18"/>
              </w:rPr>
              <w:t>Specification</w:t>
            </w:r>
          </w:p>
        </w:tc>
        <w:tc>
          <w:tcPr>
            <w:tcW w:type="dxa" w:w="1289"/>
          </w:tcPr>
          <w:p>
            <w:pPr>
              <w:spacing w:after="0" w:before="0"/>
              <w:jc w:val="left"/>
            </w:pPr>
            <w:r/>
            <w:r>
              <w:rPr>
                <w:rFonts w:ascii="Times New Roman" w:hAnsi="Times New Roman"/>
                <w:b/>
                <w:sz w:val="18"/>
              </w:rPr>
              <w:t>n</w:t>
            </w:r>
          </w:p>
        </w:tc>
        <w:tc>
          <w:tcPr>
            <w:tcW w:type="dxa" w:w="1289"/>
          </w:tcPr>
          <w:p>
            <w:pPr>
              <w:spacing w:after="0" w:before="0"/>
              <w:jc w:val="left"/>
            </w:pPr>
            <w:r/>
            <w:r>
              <w:rPr>
                <w:rFonts w:ascii="Times New Roman" w:hAnsi="Times New Roman"/>
                <w:b/>
                <w:sz w:val="18"/>
              </w:rPr>
              <w:t>Treated</w:t>
            </w:r>
          </w:p>
        </w:tc>
        <w:tc>
          <w:tcPr>
            <w:tcW w:type="dxa" w:w="1289"/>
          </w:tcPr>
          <w:p>
            <w:pPr>
              <w:spacing w:after="0" w:before="0"/>
              <w:jc w:val="left"/>
            </w:pPr>
            <w:r/>
            <w:r>
              <w:rPr>
                <w:rFonts w:ascii="Times New Roman" w:hAnsi="Times New Roman"/>
                <w:b/>
                <w:sz w:val="18"/>
              </w:rPr>
              <w:t>Country groups</w:t>
            </w:r>
          </w:p>
        </w:tc>
        <w:tc>
          <w:tcPr>
            <w:tcW w:type="dxa" w:w="1289"/>
          </w:tcPr>
          <w:p>
            <w:pPr>
              <w:spacing w:after="0" w:before="0"/>
              <w:jc w:val="left"/>
            </w:pPr>
            <w:r/>
            <w:r>
              <w:rPr>
                <w:rFonts w:ascii="Times New Roman" w:hAnsi="Times New Roman"/>
                <w:b/>
                <w:sz w:val="18"/>
              </w:rPr>
              <w:t>IRR</w:t>
            </w:r>
          </w:p>
        </w:tc>
        <w:tc>
          <w:tcPr>
            <w:tcW w:type="dxa" w:w="1289"/>
          </w:tcPr>
          <w:p>
            <w:pPr>
              <w:spacing w:after="0" w:before="0"/>
              <w:jc w:val="left"/>
            </w:pPr>
            <w:r/>
            <w:r>
              <w:rPr>
                <w:rFonts w:ascii="Times New Roman" w:hAnsi="Times New Roman"/>
                <w:b/>
                <w:sz w:val="18"/>
              </w:rPr>
              <w:t>95% CI</w:t>
            </w:r>
          </w:p>
        </w:tc>
        <w:tc>
          <w:tcPr>
            <w:tcW w:type="dxa" w:w="1289"/>
          </w:tcPr>
          <w:p>
            <w:pPr>
              <w:spacing w:after="0" w:before="0"/>
              <w:jc w:val="left"/>
            </w:pPr>
            <w:r/>
            <w:r>
              <w:rPr>
                <w:rFonts w:ascii="Times New Roman" w:hAnsi="Times New Roman"/>
                <w:b/>
                <w:sz w:val="18"/>
              </w:rPr>
              <w:t>Model p</w:t>
            </w:r>
          </w:p>
        </w:tc>
      </w:tr>
      <w:tr>
        <w:tc>
          <w:tcPr>
            <w:tcW w:type="dxa" w:w="1289"/>
          </w:tcPr>
          <w:p>
            <w:pPr>
              <w:spacing w:after="0" w:before="0"/>
              <w:jc w:val="left"/>
            </w:pPr>
            <w:r/>
            <w:r>
              <w:rPr>
                <w:rFonts w:ascii="Times New Roman" w:hAnsi="Times New Roman"/>
                <w:sz w:val="18"/>
              </w:rPr>
              <w:t>All countries</w:t>
            </w:r>
          </w:p>
        </w:tc>
        <w:tc>
          <w:tcPr>
            <w:tcW w:type="dxa" w:w="1289"/>
          </w:tcPr>
          <w:p>
            <w:pPr>
              <w:spacing w:after="0" w:before="0"/>
              <w:jc w:val="left"/>
            </w:pPr>
            <w:r/>
            <w:r>
              <w:rPr>
                <w:rFonts w:ascii="Times New Roman" w:hAnsi="Times New Roman"/>
                <w:sz w:val="18"/>
              </w:rPr>
              <w:t>7,821</w:t>
            </w:r>
          </w:p>
        </w:tc>
        <w:tc>
          <w:tcPr>
            <w:tcW w:type="dxa" w:w="1289"/>
          </w:tcPr>
          <w:p>
            <w:pPr>
              <w:spacing w:after="0" w:before="0"/>
              <w:jc w:val="left"/>
            </w:pPr>
            <w:r/>
            <w:r>
              <w:rPr>
                <w:rFonts w:ascii="Times New Roman" w:hAnsi="Times New Roman"/>
                <w:sz w:val="18"/>
              </w:rPr>
              <w:t>502</w:t>
            </w:r>
          </w:p>
        </w:tc>
        <w:tc>
          <w:tcPr>
            <w:tcW w:type="dxa" w:w="1289"/>
          </w:tcPr>
          <w:p>
            <w:pPr>
              <w:spacing w:after="0" w:before="0"/>
              <w:jc w:val="left"/>
            </w:pPr>
            <w:r/>
            <w:r>
              <w:rPr>
                <w:rFonts w:ascii="Times New Roman" w:hAnsi="Times New Roman"/>
                <w:sz w:val="18"/>
              </w:rPr>
              <w:t>139</w:t>
            </w:r>
          </w:p>
        </w:tc>
        <w:tc>
          <w:tcPr>
            <w:tcW w:type="dxa" w:w="1289"/>
          </w:tcPr>
          <w:p>
            <w:pPr>
              <w:spacing w:after="0" w:before="0"/>
              <w:jc w:val="left"/>
            </w:pPr>
            <w:r/>
            <w:r>
              <w:rPr>
                <w:rFonts w:ascii="Times New Roman" w:hAnsi="Times New Roman"/>
                <w:sz w:val="18"/>
              </w:rPr>
              <w:t>1.1777</w:t>
            </w:r>
          </w:p>
        </w:tc>
        <w:tc>
          <w:tcPr>
            <w:tcW w:type="dxa" w:w="1289"/>
          </w:tcPr>
          <w:p>
            <w:pPr>
              <w:spacing w:after="0" w:before="0"/>
              <w:jc w:val="left"/>
            </w:pPr>
            <w:r/>
            <w:r>
              <w:rPr>
                <w:rFonts w:ascii="Times New Roman" w:hAnsi="Times New Roman"/>
                <w:sz w:val="18"/>
              </w:rPr>
              <w:t>[1.052, 1.318]</w:t>
            </w:r>
          </w:p>
        </w:tc>
        <w:tc>
          <w:tcPr>
            <w:tcW w:type="dxa" w:w="1289"/>
          </w:tcPr>
          <w:p>
            <w:pPr>
              <w:spacing w:after="0" w:before="0"/>
              <w:jc w:val="left"/>
            </w:pPr>
            <w:r/>
            <w:r>
              <w:rPr>
                <w:rFonts w:ascii="Times New Roman" w:hAnsi="Times New Roman"/>
                <w:sz w:val="18"/>
              </w:rPr>
              <w:t>.0045</w:t>
            </w:r>
          </w:p>
        </w:tc>
      </w:tr>
      <w:tr>
        <w:tc>
          <w:tcPr>
            <w:tcW w:type="dxa" w:w="1289"/>
          </w:tcPr>
          <w:p>
            <w:pPr>
              <w:spacing w:after="0" w:before="0"/>
              <w:jc w:val="left"/>
            </w:pPr>
            <w:r/>
            <w:r>
              <w:rPr>
                <w:rFonts w:ascii="Times New Roman" w:hAnsi="Times New Roman"/>
                <w:sz w:val="18"/>
              </w:rPr>
              <w:t>Countries with ≥ 1 treated institution</w:t>
            </w:r>
          </w:p>
        </w:tc>
        <w:tc>
          <w:tcPr>
            <w:tcW w:type="dxa" w:w="1289"/>
          </w:tcPr>
          <w:p>
            <w:pPr>
              <w:spacing w:after="0" w:before="0"/>
              <w:jc w:val="left"/>
            </w:pPr>
            <w:r/>
            <w:r>
              <w:rPr>
                <w:rFonts w:ascii="Times New Roman" w:hAnsi="Times New Roman"/>
                <w:sz w:val="18"/>
              </w:rPr>
              <w:t>6,411</w:t>
            </w:r>
          </w:p>
        </w:tc>
        <w:tc>
          <w:tcPr>
            <w:tcW w:type="dxa" w:w="1289"/>
          </w:tcPr>
          <w:p>
            <w:pPr>
              <w:spacing w:after="0" w:before="0"/>
              <w:jc w:val="left"/>
            </w:pPr>
            <w:r/>
            <w:r>
              <w:rPr>
                <w:rFonts w:ascii="Times New Roman" w:hAnsi="Times New Roman"/>
                <w:sz w:val="18"/>
              </w:rPr>
              <w:t>502</w:t>
            </w:r>
          </w:p>
        </w:tc>
        <w:tc>
          <w:tcPr>
            <w:tcW w:type="dxa" w:w="1289"/>
          </w:tcPr>
          <w:p>
            <w:pPr>
              <w:spacing w:after="0" w:before="0"/>
              <w:jc w:val="left"/>
            </w:pPr>
            <w:r/>
            <w:r>
              <w:rPr>
                <w:rFonts w:ascii="Times New Roman" w:hAnsi="Times New Roman"/>
                <w:sz w:val="18"/>
              </w:rPr>
              <w:t>38</w:t>
            </w:r>
          </w:p>
        </w:tc>
        <w:tc>
          <w:tcPr>
            <w:tcW w:type="dxa" w:w="1289"/>
          </w:tcPr>
          <w:p>
            <w:pPr>
              <w:spacing w:after="0" w:before="0"/>
              <w:jc w:val="left"/>
            </w:pPr>
            <w:r/>
            <w:r>
              <w:rPr>
                <w:rFonts w:ascii="Times New Roman" w:hAnsi="Times New Roman"/>
                <w:sz w:val="18"/>
              </w:rPr>
              <w:t>1.1676</w:t>
            </w:r>
          </w:p>
        </w:tc>
        <w:tc>
          <w:tcPr>
            <w:tcW w:type="dxa" w:w="1289"/>
          </w:tcPr>
          <w:p>
            <w:pPr>
              <w:spacing w:after="0" w:before="0"/>
              <w:jc w:val="left"/>
            </w:pPr>
            <w:r/>
            <w:r>
              <w:rPr>
                <w:rFonts w:ascii="Times New Roman" w:hAnsi="Times New Roman"/>
                <w:sz w:val="18"/>
              </w:rPr>
              <w:t>[1.043, 1.308]</w:t>
            </w:r>
          </w:p>
        </w:tc>
        <w:tc>
          <w:tcPr>
            <w:tcW w:type="dxa" w:w="1289"/>
          </w:tcPr>
          <w:p>
            <w:pPr>
              <w:spacing w:after="0" w:before="0"/>
              <w:jc w:val="left"/>
            </w:pPr>
            <w:r/>
            <w:r>
              <w:rPr>
                <w:rFonts w:ascii="Times New Roman" w:hAnsi="Times New Roman"/>
                <w:sz w:val="18"/>
              </w:rPr>
              <w:t>.0073</w:t>
            </w:r>
          </w:p>
        </w:tc>
      </w:tr>
    </w:tbl>
    <w:p/>
    <w:p>
      <w:pPr>
        <w:spacing w:after="120"/>
      </w:pPr>
      <w:r>
        <w:rPr>
          <w:b w:val="0"/>
          <w:i w:val="0"/>
        </w:rPr>
        <w:t>Table S6. Country fixed-effects specifications. 65 of the 7,886 institutions in the headline frame carry no resolvable country code and are dropped. 38 of the 139 countries contain at least one park-affiliated institution. The remaining 101 contribute to the covariate estimates but not to identification of the park coefficient. These estimates carry model-based p-values only.</w:t>
      </w:r>
    </w:p>
    <w:p>
      <w:pPr>
        <w:pStyle w:val="2"/>
      </w:pPr>
      <w:r>
        <w:rPr>
          <w:b w:val="0"/>
          <w:i w:val="0"/>
        </w:rPr>
        <w:t>S10 The productivity specification</w:t>
      </w:r>
    </w:p>
    <w:p>
      <w:pPr/>
      <w:r>
        <w:rPr>
          <w:b w:val="0"/>
          <w:i w:val="0"/>
        </w:rPr>
        <w:t>Table S7 extends the primary 2,000 m specification to include institution productivity (log1p of total publication count within the sample). Conditioning on productivity estimates a controlled direct effect rather than the total effect H1 states, so the specification is a sensitivity analysis. Its coefficient shift relative to the density-only model is the expected behaviour of a non-collapsible rate ratio under a variance-reducing covariate that is essentially uncorrelated with the treatment (r = .026). I again estimated dispersion by maximum likelihood (α = 0.548), and the specification is clearly preferred over Poisson (AIC 47,561 against 76,568). Once productivity is controlled, the park coefficient is nominally significant (IRR 1.13 [1.01, 1.28], p = .042), and productivity itself is associated with substantially higher degree (IRR 2.05, p &lt; .001). No meaningful collinearity is introduced (park VIF 1.01; density covariates 1.16–1.22; productivity 1.07), and the correlation between productivity and local density is modest (r = .188). A p-value that has just crossed .05 deserves the scrutiny given one that has just failed to, so I stress-tested the coefficient three ways. Threshold sensitivity leaves it non-significant at 500 m and 1,000 m and significant only at 2,000 m and above. A label-permutation test that refits the full model after each of 1,000 random reassignments of the park label yields p = .1214. Within its four-test Holm–Bonferroni family, the nominal p = .042 exceeds its adjusted threshold of .025. I do not read it as evidence of a residual, independent park effect. At the headline specification the same coefficient is IRR 1.202 [1.114, 1.295] (model p = 1.7×10⁻⁶; permutation p = .0004 at 5,000 refits). The covariate carries a caveat the density covariates do not. Productivity is measured as publication count within the same 54,671-work sample used to construct the network. An institution appearing in more sampled papers mechanically has more opportunities to be observed co-affiliated with a distinct institution, and part of the large coefficient plausibly reflects that coupling. Separating the two would require a measure external to the sampled network.</w:t>
      </w:r>
    </w:p>
    <w:tbl>
      <w:tblPr>
        <w:tblW w:type="auto" w:w="0"/>
        <w:tblLayout w:type="autofit"/>
        <w:tblLook w:firstColumn="1" w:firstRow="1" w:lastColumn="0" w:lastRow="0" w:noHBand="0" w:noVBand="1" w:val="04A0"/>
        <w:tblBorders>
          <w:top w:val="single" w:sz="4" w:space="0" w:color="000000"/>
          <w:bottom w:val="single" w:sz="4" w:space="0" w:color="000000"/>
          <w:insideH w:val="single" w:sz="4" w:space="0" w:color="000000"/>
          <w:left w:val="nil"/>
          <w:right w:val="nil"/>
          <w:insideV w:val="nil"/>
        </w:tblBorders>
      </w:tblPr>
      <w:tblGrid>
        <w:gridCol w:w="2256"/>
        <w:gridCol w:w="2256"/>
        <w:gridCol w:w="2256"/>
        <w:gridCol w:w="2256"/>
      </w:tblGrid>
      <w:tr>
        <w:tc>
          <w:tcPr>
            <w:tcW w:type="dxa" w:w="2256"/>
          </w:tcPr>
          <w:p>
            <w:pPr>
              <w:spacing w:after="0" w:before="0"/>
              <w:jc w:val="left"/>
            </w:pPr>
            <w:r/>
            <w:r>
              <w:rPr>
                <w:rFonts w:ascii="Times New Roman" w:hAnsi="Times New Roman"/>
                <w:b/>
                <w:sz w:val="18"/>
              </w:rPr>
              <w:t>Predictor</w:t>
            </w:r>
          </w:p>
        </w:tc>
        <w:tc>
          <w:tcPr>
            <w:tcW w:type="dxa" w:w="2256"/>
          </w:tcPr>
          <w:p>
            <w:pPr>
              <w:spacing w:after="0" w:before="0"/>
              <w:jc w:val="left"/>
            </w:pPr>
            <w:r/>
            <w:r>
              <w:rPr>
                <w:rFonts w:ascii="Times New Roman" w:hAnsi="Times New Roman"/>
                <w:b/>
                <w:sz w:val="18"/>
              </w:rPr>
              <w:t>Coefficient</w:t>
            </w:r>
          </w:p>
        </w:tc>
        <w:tc>
          <w:tcPr>
            <w:tcW w:type="dxa" w:w="2256"/>
          </w:tcPr>
          <w:p>
            <w:pPr>
              <w:spacing w:after="0" w:before="0"/>
              <w:jc w:val="left"/>
            </w:pPr>
            <w:r/>
            <w:r>
              <w:rPr>
                <w:rFonts w:ascii="Times New Roman" w:hAnsi="Times New Roman"/>
                <w:b/>
                <w:sz w:val="18"/>
              </w:rPr>
              <w:t>p</w:t>
            </w:r>
          </w:p>
        </w:tc>
        <w:tc>
          <w:tcPr>
            <w:tcW w:type="dxa" w:w="2256"/>
          </w:tcPr>
          <w:p>
            <w:pPr>
              <w:spacing w:after="0" w:before="0"/>
              <w:jc w:val="left"/>
            </w:pPr>
            <w:r/>
            <w:r>
              <w:rPr>
                <w:rFonts w:ascii="Times New Roman" w:hAnsi="Times New Roman"/>
                <w:b/>
                <w:sz w:val="18"/>
              </w:rPr>
              <w:t>IRR [95% CI]</w:t>
            </w:r>
          </w:p>
        </w:tc>
      </w:tr>
      <w:tr>
        <w:tc>
          <w:tcPr>
            <w:tcW w:type="dxa" w:w="2256"/>
          </w:tcPr>
          <w:p>
            <w:pPr>
              <w:spacing w:after="0" w:before="0"/>
              <w:jc w:val="left"/>
            </w:pPr>
            <w:r/>
            <w:r>
              <w:rPr>
                <w:rFonts w:ascii="Times New Roman" w:hAnsi="Times New Roman"/>
                <w:sz w:val="18"/>
              </w:rPr>
              <w:t>Park proximity (binary, 2,000 m)</w:t>
            </w:r>
          </w:p>
        </w:tc>
        <w:tc>
          <w:tcPr>
            <w:tcW w:type="dxa" w:w="2256"/>
          </w:tcPr>
          <w:p>
            <w:pPr>
              <w:spacing w:after="0" w:before="0"/>
              <w:jc w:val="left"/>
            </w:pPr>
            <w:r/>
            <w:r>
              <w:rPr>
                <w:rFonts w:ascii="Times New Roman" w:hAnsi="Times New Roman"/>
                <w:sz w:val="18"/>
              </w:rPr>
              <w:t>0.124</w:t>
            </w:r>
          </w:p>
        </w:tc>
        <w:tc>
          <w:tcPr>
            <w:tcW w:type="dxa" w:w="2256"/>
          </w:tcPr>
          <w:p>
            <w:pPr>
              <w:spacing w:after="0" w:before="0"/>
              <w:jc w:val="left"/>
            </w:pPr>
            <w:r/>
            <w:r>
              <w:rPr>
                <w:rFonts w:ascii="Times New Roman" w:hAnsi="Times New Roman"/>
                <w:sz w:val="18"/>
              </w:rPr>
              <w:t>.042</w:t>
            </w:r>
          </w:p>
        </w:tc>
        <w:tc>
          <w:tcPr>
            <w:tcW w:type="dxa" w:w="2256"/>
          </w:tcPr>
          <w:p>
            <w:pPr>
              <w:spacing w:after="0" w:before="0"/>
              <w:jc w:val="left"/>
            </w:pPr>
            <w:r/>
            <w:r>
              <w:rPr>
                <w:rFonts w:ascii="Times New Roman" w:hAnsi="Times New Roman"/>
                <w:sz w:val="18"/>
              </w:rPr>
              <w:t>1.13 [1.01, 1.28]</w:t>
            </w:r>
          </w:p>
        </w:tc>
      </w:tr>
      <w:tr>
        <w:tc>
          <w:tcPr>
            <w:tcW w:type="dxa" w:w="2256"/>
          </w:tcPr>
          <w:p>
            <w:pPr>
              <w:spacing w:after="0" w:before="0"/>
              <w:jc w:val="left"/>
            </w:pPr>
            <w:r/>
            <w:r>
              <w:rPr>
                <w:rFonts w:ascii="Times New Roman" w:hAnsi="Times New Roman"/>
                <w:sz w:val="18"/>
              </w:rPr>
              <w:t>Local university/institute density (log)</w:t>
            </w:r>
          </w:p>
        </w:tc>
        <w:tc>
          <w:tcPr>
            <w:tcW w:type="dxa" w:w="2256"/>
          </w:tcPr>
          <w:p>
            <w:pPr>
              <w:spacing w:after="0" w:before="0"/>
              <w:jc w:val="left"/>
            </w:pPr>
            <w:r/>
            <w:r>
              <w:rPr>
                <w:rFonts w:ascii="Times New Roman" w:hAnsi="Times New Roman"/>
                <w:sz w:val="18"/>
              </w:rPr>
              <w:t>0.128</w:t>
            </w:r>
          </w:p>
        </w:tc>
        <w:tc>
          <w:tcPr>
            <w:tcW w:type="dxa" w:w="2256"/>
          </w:tcPr>
          <w:p>
            <w:pPr>
              <w:spacing w:after="0" w:before="0"/>
              <w:jc w:val="left"/>
            </w:pPr>
            <w:r/>
            <w:r>
              <w:rPr>
                <w:rFonts w:ascii="Times New Roman" w:hAnsi="Times New Roman"/>
                <w:sz w:val="18"/>
              </w:rPr>
              <w:t>&lt; .001</w:t>
            </w:r>
          </w:p>
        </w:tc>
        <w:tc>
          <w:tcPr>
            <w:tcW w:type="dxa" w:w="2256"/>
          </w:tcPr>
          <w:p>
            <w:pPr>
              <w:spacing w:after="0" w:before="0"/>
              <w:jc w:val="left"/>
            </w:pPr>
            <w:r/>
            <w:r>
              <w:rPr>
                <w:rFonts w:ascii="Times New Roman" w:hAnsi="Times New Roman"/>
                <w:sz w:val="18"/>
              </w:rPr>
              <w:t>1.14 [1.12, 1.16]</w:t>
            </w:r>
          </w:p>
        </w:tc>
      </w:tr>
      <w:tr>
        <w:tc>
          <w:tcPr>
            <w:tcW w:type="dxa" w:w="2256"/>
          </w:tcPr>
          <w:p>
            <w:pPr>
              <w:spacing w:after="0" w:before="0"/>
              <w:jc w:val="left"/>
            </w:pPr>
            <w:r/>
            <w:r>
              <w:rPr>
                <w:rFonts w:ascii="Times New Roman" w:hAnsi="Times New Roman"/>
                <w:sz w:val="18"/>
              </w:rPr>
              <w:t>Distance to rail station (log)</w:t>
            </w:r>
          </w:p>
        </w:tc>
        <w:tc>
          <w:tcPr>
            <w:tcW w:type="dxa" w:w="2256"/>
          </w:tcPr>
          <w:p>
            <w:pPr>
              <w:spacing w:after="0" w:before="0"/>
              <w:jc w:val="left"/>
            </w:pPr>
            <w:r/>
            <w:r>
              <w:rPr>
                <w:rFonts w:ascii="Times New Roman" w:hAnsi="Times New Roman"/>
                <w:sz w:val="18"/>
              </w:rPr>
              <w:t>−0.042</w:t>
            </w:r>
          </w:p>
        </w:tc>
        <w:tc>
          <w:tcPr>
            <w:tcW w:type="dxa" w:w="2256"/>
          </w:tcPr>
          <w:p>
            <w:pPr>
              <w:spacing w:after="0" w:before="0"/>
              <w:jc w:val="left"/>
            </w:pPr>
            <w:r/>
            <w:r>
              <w:rPr>
                <w:rFonts w:ascii="Times New Roman" w:hAnsi="Times New Roman"/>
                <w:sz w:val="18"/>
              </w:rPr>
              <w:t>&lt; .001</w:t>
            </w:r>
          </w:p>
        </w:tc>
        <w:tc>
          <w:tcPr>
            <w:tcW w:type="dxa" w:w="2256"/>
          </w:tcPr>
          <w:p>
            <w:pPr>
              <w:spacing w:after="0" w:before="0"/>
              <w:jc w:val="left"/>
            </w:pPr>
            <w:r/>
            <w:r>
              <w:rPr>
                <w:rFonts w:ascii="Times New Roman" w:hAnsi="Times New Roman"/>
                <w:sz w:val="18"/>
              </w:rPr>
              <w:t>0.96 [0.95, 0.97]</w:t>
            </w:r>
          </w:p>
        </w:tc>
      </w:tr>
      <w:tr>
        <w:tc>
          <w:tcPr>
            <w:tcW w:type="dxa" w:w="2256"/>
          </w:tcPr>
          <w:p>
            <w:pPr>
              <w:spacing w:after="0" w:before="0"/>
              <w:jc w:val="left"/>
            </w:pPr>
            <w:r/>
            <w:r>
              <w:rPr>
                <w:rFonts w:ascii="Times New Roman" w:hAnsi="Times New Roman"/>
                <w:sz w:val="18"/>
              </w:rPr>
              <w:t>Distance to motorway junction (log)</w:t>
            </w:r>
          </w:p>
        </w:tc>
        <w:tc>
          <w:tcPr>
            <w:tcW w:type="dxa" w:w="2256"/>
          </w:tcPr>
          <w:p>
            <w:pPr>
              <w:spacing w:after="0" w:before="0"/>
              <w:jc w:val="left"/>
            </w:pPr>
            <w:r/>
            <w:r>
              <w:rPr>
                <w:rFonts w:ascii="Times New Roman" w:hAnsi="Times New Roman"/>
                <w:sz w:val="18"/>
              </w:rPr>
              <w:t>−0.162</w:t>
            </w:r>
          </w:p>
        </w:tc>
        <w:tc>
          <w:tcPr>
            <w:tcW w:type="dxa" w:w="2256"/>
          </w:tcPr>
          <w:p>
            <w:pPr>
              <w:spacing w:after="0" w:before="0"/>
              <w:jc w:val="left"/>
            </w:pPr>
            <w:r/>
            <w:r>
              <w:rPr>
                <w:rFonts w:ascii="Times New Roman" w:hAnsi="Times New Roman"/>
                <w:sz w:val="18"/>
              </w:rPr>
              <w:t>&lt; .001</w:t>
            </w:r>
          </w:p>
        </w:tc>
        <w:tc>
          <w:tcPr>
            <w:tcW w:type="dxa" w:w="2256"/>
          </w:tcPr>
          <w:p>
            <w:pPr>
              <w:spacing w:after="0" w:before="0"/>
              <w:jc w:val="left"/>
            </w:pPr>
            <w:r/>
            <w:r>
              <w:rPr>
                <w:rFonts w:ascii="Times New Roman" w:hAnsi="Times New Roman"/>
                <w:sz w:val="18"/>
              </w:rPr>
              <w:t>0.85 [0.83, 0.87]</w:t>
            </w:r>
          </w:p>
        </w:tc>
      </w:tr>
      <w:tr>
        <w:tc>
          <w:tcPr>
            <w:tcW w:type="dxa" w:w="2256"/>
          </w:tcPr>
          <w:p>
            <w:pPr>
              <w:spacing w:after="0" w:before="0"/>
              <w:jc w:val="left"/>
            </w:pPr>
            <w:r/>
            <w:r>
              <w:rPr>
                <w:rFonts w:ascii="Times New Roman" w:hAnsi="Times New Roman"/>
                <w:sz w:val="18"/>
              </w:rPr>
              <w:t>Institution productivity (log papers)</w:t>
            </w:r>
          </w:p>
        </w:tc>
        <w:tc>
          <w:tcPr>
            <w:tcW w:type="dxa" w:w="2256"/>
          </w:tcPr>
          <w:p>
            <w:pPr>
              <w:spacing w:after="0" w:before="0"/>
              <w:jc w:val="left"/>
            </w:pPr>
            <w:r/>
            <w:r>
              <w:rPr>
                <w:rFonts w:ascii="Times New Roman" w:hAnsi="Times New Roman"/>
                <w:sz w:val="18"/>
              </w:rPr>
              <w:t>0.716</w:t>
            </w:r>
          </w:p>
        </w:tc>
        <w:tc>
          <w:tcPr>
            <w:tcW w:type="dxa" w:w="2256"/>
          </w:tcPr>
          <w:p>
            <w:pPr>
              <w:spacing w:after="0" w:before="0"/>
              <w:jc w:val="left"/>
            </w:pPr>
            <w:r/>
            <w:r>
              <w:rPr>
                <w:rFonts w:ascii="Times New Roman" w:hAnsi="Times New Roman"/>
                <w:sz w:val="18"/>
              </w:rPr>
              <w:t>&lt; .001</w:t>
            </w:r>
          </w:p>
        </w:tc>
        <w:tc>
          <w:tcPr>
            <w:tcW w:type="dxa" w:w="2256"/>
          </w:tcPr>
          <w:p>
            <w:pPr>
              <w:spacing w:after="0" w:before="0"/>
              <w:jc w:val="left"/>
            </w:pPr>
            <w:r/>
            <w:r>
              <w:rPr>
                <w:rFonts w:ascii="Times New Roman" w:hAnsi="Times New Roman"/>
                <w:sz w:val="18"/>
              </w:rPr>
              <w:t>2.05 [2.01, 2.08]</w:t>
            </w:r>
          </w:p>
        </w:tc>
      </w:tr>
    </w:tbl>
    <w:p/>
    <w:p>
      <w:pPr>
        <w:spacing w:after="120"/>
      </w:pPr>
      <w:r>
        <w:rPr>
          <w:b w:val="0"/>
          <w:i w:val="0"/>
        </w:rPr>
        <w:t>Table S7. Negative binomial GLM of degree centrality at the 2,000 m threshold, with institution productivity added. The link is log. Dispersion α = 0.548 is estimated by maximum likelihood. IRR is the incidence rate ratio, with a 95% confidence interval.</w:t>
      </w:r>
    </w:p>
    <w:p>
      <w:pPr>
        <w:pStyle w:val="2"/>
      </w:pPr>
      <w:r>
        <w:rPr>
          <w:b w:val="0"/>
          <w:i w:val="0"/>
        </w:rPr>
        <w:t>S11 Misclassification-bound simulation</w:t>
      </w:r>
    </w:p>
    <w:p>
      <w:pPr/>
      <w:r>
        <w:rPr>
          <w:b w:val="0"/>
          <w:i w:val="0"/>
        </w:rPr>
        <w:t>The simulation is run at the headline specification (5,000 m treatment, 5,000 m density, 504 treated) and applies three error mechanisms jointly. Registry-status error is park-level and time-varying. Whole parks are resampled as invalid at the rate found by the triangulation: 162 of 1,302 audited matched records, 12.4%, with the two never-triangulated parks excluded from the denominator. For an invalid park, I draw the validly exposed fraction of the 2018–2024 window from the two documented cases. Boundary error is drawn from a confusion matrix estimated internally on the nine parks with exact polygon geometry, rather than borrowed from an external source. At 5,000 m the distance proxy has a 54.1% false-positive rate (33 of 61 haversine-positive coordinates lie outside the polygon; exact binomial 95% CI 40.9–66.9%) against 6.7% false negatives (2 of 30; CI 0.8–22.1%). At 2,000 m it has 41.5% false positives (17 of 41; CI 26.3–57.9%) and 20.0% false negatives (6 of 30; CI 7.7–38.6%), the latter at distances up to 9.7 km from the registry centroid. These rates rest on few coordinates and on parks that skew large and multi-site. They are still the only internally estimable rates available, and they are markedly worse than the triangulation rate. False negatives are sampled differentially, weighted by local research-institute density, on the reasoning that institutions a registry misses sit disproportionately in dense research areas. The simulation runs 5,000 replicates per cell with Monte Carlo standard errors. It also includes a null arm in which the true effect is fixed at IRR 1.00 with all three mechanisms active.</w:t>
      </w:r>
    </w:p>
    <w:p>
      <w:pPr/>
      <w:r>
        <w:rPr>
          <w:b w:val="0"/>
          <w:i w:val="0"/>
        </w:rPr>
        <w:t>Power is .337 ± .0067 at true IRR 1.25, .813 ± .0055 at 1.5, and .994 ± .0011 at 2.0. The null arm returns a false-positive rate of .025 ± .0022 at α = .05 and a mean observed IRR of 0.999. It also returns a probability of 0.040% (2 of 5,000; exact binomial 95% CI 0.005–0.144%) of producing an estimate as extreme as the observed one. The scope of this arm is narrow. It perturbs the exposure and is therefore silent on confounding, and it excludes exposure-misclassification artefact specifically, not artefact in general. Observed estimates are attenuated: mean observed IRRs are 1.089, 1.179, and 1.353 for true effects of 1.25, 1.5, and 2.0. An observed 1.235 therefore back-maps to a true effect near IRR 1.65, above the 95th percentile of what a true effect of 1.25 produces (1.197). Two cautions bound that inversion. It assumes the error model is complete, and with power .337 at IRR 1.25 a detected estimate is subject to the winner's curse. What the design excludes is narrower than the detection rate. A true effect of IRR 2.0 would place the observed estimate above the interval's upper bound in the vast majority of replicates. Effects between roughly 1.25 and 1.75 are not distinguishable from what is observed.</w:t>
      </w:r>
    </w:p>
    <w:p>
      <w:pPr>
        <w:pStyle w:val="2"/>
      </w:pPr>
      <w:r>
        <w:rPr>
          <w:b w:val="0"/>
          <w:i w:val="0"/>
        </w:rPr>
        <w:t>S12 Park classification, Method B comparison, and the radius and vintage audit</w:t>
      </w:r>
    </w:p>
    <w:p>
      <w:pPr/>
      <w:r>
        <w:rPr>
          <w:b/>
        </w:rPr>
        <w:t xml:space="preserve">Polygon assembly. </w:t>
      </w:r>
      <w:r>
        <w:t>For the 10 of 231 parks with a linked OpenStreetMap relation identifier (Wikidata property P402), I retrieved boundaries through targeted Overpass queries, one per known relation rather than a planet-scale spatial query. I evaluated exact point-in-polygon containment by ray casting. Usable geometry was assembled for 9. The tenth, Kyoto Research Park, had no way fragments that could be assembled into a closed ring. It is classified by haversine distance alone, as are the 221 parks with no linked relation. Dispersed park systems required explicit multipolygon handling: Hsinchu Science Park comprises six non-contiguous sub-sites (Hsinchu, Zhunan, Tongluo, Longtan, Yilan, and a software park). An initial implementation merged all unclosed fragments of such a relation into one convex hull. That over-included unrelated intervening area and classified an institution roughly 33 km away as park-affiliated. I revised the procedure to treat each closed way-chain as an independent polygon. Fragments that could not be assembled into a closed ring are discarded rather than forcibly closed. Nine records are captured by exact containment while lying beyond the 2,000 m radius, which is why the combined classification returns 2,500 records against 2,491 under distance alone. The pipeline verifies at runtime that Hsinchu Science Park (Q717461) is present and correctly classified under the seed classes; this check passed. I optimized the SPARQL query after a single-query formulation exceeded the endpoint's execution-time limit, using two-stage class expansion with property-path isolation, POST requests, and batched label retrieval via the MediaWiki API.</w:t>
      </w:r>
    </w:p>
    <w:p>
      <w:pPr/>
      <w:r>
        <w:rPr>
          <w:b/>
        </w:rPr>
        <w:t xml:space="preserve">Method B comparison. </w:t>
      </w:r>
      <w:r>
        <w:t>Method B queried OpenStreetMap for each institution's coordinate using Overpass is_in(), identifying any enclosing area whose name matched a multilingual park-keyword list (for example "science park," "technology park," "科學園區"). I attempted it for all 80,176 strings, and it returned classifications for the 69,455 with valid coordinates, of which 262 were classified as park-affiliated. The two methods agree on 66,806 of 69,455 records (96.2%). Class imbalance inflates that figure, since non-park records constitute roughly 96% of the sample. In the positive class the overlap is small: 51 of the 2,491 Wikidata-classified records (2.1%) were confirmed by the keyword query, and 51 of the 262 OSM-flagged records (19.5%) overlap the Wikidata set. The gap reflects uneven volunteer tagging, as many Wikidata-verified parks have no corresponding OSM area or carry a name tag outside the keyword list. Method B is therefore a lower bound on park membership rather than an equal-standing alternative, and the low overlap is not a validation failure of either source. In the CAR-T probe the corresponding overlaps are 0.11% and 5.9%. I retrieved density covariates in one Overpass request per unique coordinate. Repeated HTTP 429 and 406 responses from public mirrors were resolved by attaching an identifying User-Agent header and rotating across three maintained public instances. At the raw-affiliation level the 4,000 m right-censoring of the transport distances affects 35.9% of records for station distance and 43.7% for junction distance.</w:t>
      </w:r>
    </w:p>
    <w:p>
      <w:pPr/>
      <w:r>
        <w:rPr>
          <w:b w:val="0"/>
          <w:i w:val="0"/>
        </w:rPr>
        <w:t>Record-to-institution aggregation. Table 1 of the main text and every regression use the 187 institutions returned by majority-vote aggregation of the distance-only 2,000 m classification. The network-assembly step writes a separate 166-institution node-level flag. The two counts differ because different aggregation rules produce them, not because the spatial rules conflict. Applying majority-vote aggregation to the same 7,886 institutions, the polygon-refined classification returns 188 park institutions and the distance-only classification 187. The asymmetric combination rule's one-directional guarantee therefore holds at the institution level as it does at the record level. The 166 is a node-level flag written during network assembly under a third aggregation rule. It overlaps the distance-only set on 163 institutions, adds 3, and omits 24. As a sensitivity check, I ran the bivariate comparison under that flag (2,500 strings under the polygon-refined classification against 166 institutions). It gives rank-biserial r = .114 [.091, .137] against .121 [.028, .216], with p = 8.9×10⁻²³ against .0073. That is the same pattern as the one-rule comparison of Table 1 (r = .115 against .138; p = 5×10⁻²³ against .0012).</w:t>
      </w:r>
    </w:p>
    <w:p>
      <w:pPr/>
      <w:r>
        <w:rPr>
          <w:b w:val="0"/>
          <w:i w:val="0"/>
        </w:rPr>
        <w:t>Radius decoupling and covariate vintage. I re-collected the density covariate at a 5,000 m radius for the 5,098 unique coordinates of the entity-resolved network. I then re-estimated the model across the four combinations of treatment radius (2,000 m, 5,000 m) and covariate radius (2,000 m, 5,000 m). At a 5,000 m treatment radius the park coefficient is IRR 1.235 (p = .00012) with the 2,000 m density control and 1.235 (p = .00012) with the 5,000 m control. With both entered together it is 1.227 (p = .00019). That last model carries VIFs of 3.48 and 3.61 (r = .844 between the two density measures), so I report it for its park estimate alone. The first pass had appeared to show a radius effect, from IRR 1.167 with the 2,000 m covariate to 1.235 with the 5,000 m covariate. That turned out to be retrieval vintage: re-collecting the 2,000 m covariate on the same date as the 5,000 m pull reproduced 1.2348 exactly. Between the original July 2026 retrieval and the 6–7 August 2026 retrieval, 20.1% of institutions changed their 2,000 m amenity count. The mean increase was 1.49 amenities, with a between-vintage correlation of .877. Those queries were issued between 19:33 UTC on 6 August and 01:15 UTC on 7 August, and the endpoint and per-batch timestamps are recorded in the deposited provenance file. Park-affiliated institutions gained more than controls: +1.861 against +1.477 within 2,000 m (Mann–Whitney p = .047) and +1.976 against +1.453 within 5,000 m (p = .154). The confound control is therefore measured with error that is differential by park status. Because the incompleteness is concentrated in the treated group, the park coefficient is under-adjusted and the bias runs away from the null, against the paper's substantive reading. Reconstructing an earlier state of OpenStreetMap requires historical queries against a full-history endpoint, which standard amenity-count pipelines do not employ. A covariate pulled without a recorded retrieval date therefore cannot be re-created after the fact.</w:t>
      </w:r>
    </w:p>
    <w:p>
      <w:pPr/>
      <w:r>
        <w:rPr>
          <w:b w:val="0"/>
          <w:i w:val="0"/>
        </w:rPr>
        <w:t>Variance inflation factors by specification. Primary 2,000 m: park 1.01, density covariates 1.19–1.22. Headline: park 1.03, local density 1.11, rail station 1.18, motorway junction 1.11. Consortium-excluded: park 1.03, density 1.11. Joint perturbation: park 1.02, density 1.11.</w:t>
      </w:r>
    </w:p>
    <w:p>
      <w:pPr>
        <w:pStyle w:val="2"/>
      </w:pPr>
      <w:r>
        <w:rPr>
          <w:b w:val="0"/>
          <w:i w:val="0"/>
        </w:rPr>
        <w:t>S13 Node- and edge-identity audits at full-population scale</w:t>
      </w:r>
    </w:p>
    <w:p>
      <w:pPr/>
      <w:r>
        <w:rPr>
          <w:b/>
        </w:rPr>
        <w:t xml:space="preserve">Node fragments. </w:t>
      </w:r>
      <w:r>
        <w:t>The pipeline's institution splitter divides OpenAlex standardized-institution strings on commas, and a minority of display names contain a comma, so each such name is divided into fragment nodes. Eighteen fragment nodes in the 7,886-node entity-resolved network arise this way: Berkeley, Davis, Irvine, Los Angeles, San Diego, Santa Barbara, Santa Cruz, Merced, and Riverside (from "University of California, &lt;campus&gt;" and equivalents), together with Baltimore, Beijing, Bangalore, Amritsar, Bhopal, Arak, Abhar Branch, Ado-Ekiti, and the fragment "Inc.". They are 0.228% of nodes and carry 411 degree in total. None is park-affiliated. Rebuilding the network without them moves the headline park coefficient from IRR 1.2348 (p = .000119) to IRR 1.2391 (p = .0000908). I report it because residual fragmentation in an entity-resolved network is more often asserted than measured. Read together with the growth of the naive-to-resolved node ratio from 3.9:1 at pilot scale to 9.6:1 at full-population scale, it indicates that entity resolution attenuates rather than eliminates node-identity pseudo-replication.</w:t>
      </w:r>
    </w:p>
    <w:p>
      <w:pPr/>
      <w:r>
        <w:rPr>
          <w:b/>
        </w:rPr>
        <w:t xml:space="preserve">Differential fragmentation. </w:t>
      </w:r>
      <w:r>
        <w:t>This check uses the same 2,000 m classification, restricted to the 64,078 geocoded records that link by majority vote to one of the 7,886 institutions in the frame. The remaining 5,377 geocoded strings link to no institution in the frame. The 2,379 affiliation records of park-affiliated institutions collapse to 187 institutions (12.72:1), while the 61,699 control records collapse to 7,699 (8.01:1). I fit the primary negative binomial with identical covariates to both node schemes. That gives IRR 1.1885 [1.142, 1.237], p = 1.5×10⁻¹⁷ on the naive network (n = 69,455), against IRR 1.1508 [0.970, 1.366], p = .108 on the entity-resolved network (n = 7,886; July-vintage covariates on both networks). The raw mean-degree ratio shifts from 1.320 to 1.437.</w:t>
      </w:r>
    </w:p>
    <w:p>
      <w:pPr/>
      <w:r>
        <w:rPr>
          <w:b/>
        </w:rPr>
        <w:t xml:space="preserve">Affiliation multiplicity. </w:t>
      </w:r>
      <w:r>
        <w:t>33,093 of 213,350 authorships (15.51%) list two or more institutions. I rebuilt the network so that an institution pair generates a tie only where two distinct authors support it. That removes 5,492 of 89,763 paper-level pairs (6.12%) and 1,478 of 47,742 distinct edges (3.10%). The park coefficient does not move: IRR 1.2419 [1.112, 1.386], model p = .000116, permutation p = .0080 (seed 20260815), against 1.2348 and .0088 on the full network. Treated institutions lose 0.438 degrees each, against 0.354 for controls (Mann–Whitney p = .333).</w:t>
      </w:r>
    </w:p>
    <w:p>
      <w:pPr/>
      <w:r>
        <w:rPr>
          <w:b w:val="0"/>
          <w:i w:val="0"/>
        </w:rPr>
        <w:t>Government-designation subsample. I restricted the park indicator to the five parks confirmed by unambiguous national-government designation: Hsinchu Science Park, Tsukuba Science City, Singapore Science Park, TusPark, and Zhongguancun. That covers 37 of 7,886 institutions, with all others recoded to the reference group. It yields IRR 0.85 [0.58, 1.24], p = .395. The interval excludes neither a 42% deficit nor an effect at the equivalence bound. These 37 institutions are disproportionately very large, multi-variant-name organizations, and their 859 raw-affiliation matches collapse at 23:1, against 13:1 for the treated group network-wide. They are a different population rather than a cleaner sample.</w:t>
      </w:r>
    </w:p>
    <w:p>
      <w:pPr/>
      <w:r>
        <w:rPr>
          <w:b/>
        </w:rPr>
        <w:t xml:space="preserve">Community structure. </w:t>
      </w:r>
      <w:r>
        <w:t>Outside the numbered protocol, I ran an exploratory greedy-modularity community analysis. It finds that the 166 park-affiliated institutions (network-assembly flag; S12) span 23 of 588 detected communities. Restricting to communities of at least 10 members, none exceeds roughly 7% park composition.</w:t>
      </w:r>
    </w:p>
    <w:p>
      <w:pPr/>
      <w:r>
        <w:rPr>
          <w:b/>
        </w:rPr>
        <w:t xml:space="preserve">Geographic distribution. </w:t>
      </w:r>
      <w:r>
        <w:t>The 69,455 geocoded affiliation records concentrate in East Asia, Europe, and North America. The 2,491 records classified as park-affiliated under the distance-only 2,000 m rule (2,500 under the polygon-refined rule) collapse to 187 institutions (166 under the network-assembly flag). The gap between the record-level and institution-level counts is the pseudo-replication the paper measures. The record-level coordinates are in the deposited geocoded.csv.</w:t>
      </w:r>
    </w:p>
    <w:p>
      <w:pPr>
        <w:pStyle w:val="2"/>
      </w:pPr>
      <w:r>
        <w:rPr>
          <w:b w:val="0"/>
          <w:i w:val="0"/>
        </w:rPr>
        <w:t>S14 Computational environment and random seeds</w:t>
      </w:r>
    </w:p>
    <w:tbl>
      <w:tblPr>
        <w:tblW w:type="auto" w:w="0"/>
        <w:tblLayout w:type="autofit"/>
        <w:tblLook w:firstColumn="1" w:firstRow="1" w:lastColumn="0" w:lastRow="0" w:noHBand="0" w:noVBand="1" w:val="04A0"/>
        <w:tblBorders>
          <w:top w:val="single" w:sz="4" w:space="0" w:color="000000"/>
          <w:bottom w:val="single" w:sz="4" w:space="0" w:color="000000"/>
          <w:insideH w:val="single" w:sz="4" w:space="0" w:color="000000"/>
          <w:left w:val="nil"/>
          <w:right w:val="nil"/>
          <w:insideV w:val="nil"/>
        </w:tblBorders>
      </w:tblPr>
      <w:tblGrid>
        <w:gridCol w:w="4513"/>
        <w:gridCol w:w="4513"/>
      </w:tblGrid>
      <w:tr>
        <w:tc>
          <w:tcPr>
            <w:tcW w:type="dxa" w:w="4513"/>
          </w:tcPr>
          <w:p>
            <w:pPr>
              <w:spacing w:after="0" w:before="0"/>
              <w:jc w:val="left"/>
            </w:pPr>
            <w:r/>
            <w:r>
              <w:rPr>
                <w:rFonts w:ascii="Times New Roman" w:hAnsi="Times New Roman"/>
                <w:b/>
                <w:sz w:val="18"/>
              </w:rPr>
              <w:t>Component</w:t>
            </w:r>
          </w:p>
        </w:tc>
        <w:tc>
          <w:tcPr>
            <w:tcW w:type="dxa" w:w="4513"/>
          </w:tcPr>
          <w:p>
            <w:pPr>
              <w:spacing w:after="0" w:before="0"/>
              <w:jc w:val="left"/>
            </w:pPr>
            <w:r/>
            <w:r>
              <w:rPr>
                <w:rFonts w:ascii="Times New Roman" w:hAnsi="Times New Roman"/>
                <w:b/>
                <w:sz w:val="18"/>
              </w:rPr>
              <w:t>Value</w:t>
            </w:r>
          </w:p>
        </w:tc>
      </w:tr>
      <w:tr>
        <w:tc>
          <w:tcPr>
            <w:tcW w:type="dxa" w:w="4513"/>
          </w:tcPr>
          <w:p>
            <w:pPr>
              <w:spacing w:after="0" w:before="0"/>
              <w:jc w:val="left"/>
            </w:pPr>
            <w:r/>
            <w:r>
              <w:rPr>
                <w:rFonts w:ascii="Times New Roman" w:hAnsi="Times New Roman"/>
                <w:sz w:val="18"/>
              </w:rPr>
              <w:t>Python</w:t>
            </w:r>
          </w:p>
        </w:tc>
        <w:tc>
          <w:tcPr>
            <w:tcW w:type="dxa" w:w="4513"/>
          </w:tcPr>
          <w:p>
            <w:pPr>
              <w:spacing w:after="0" w:before="0"/>
              <w:jc w:val="left"/>
            </w:pPr>
            <w:r/>
            <w:r>
              <w:rPr>
                <w:rFonts w:ascii="Times New Roman" w:hAnsi="Times New Roman"/>
                <w:sz w:val="18"/>
              </w:rPr>
              <w:t>3.13.3</w:t>
            </w:r>
          </w:p>
        </w:tc>
      </w:tr>
      <w:tr>
        <w:tc>
          <w:tcPr>
            <w:tcW w:type="dxa" w:w="4513"/>
          </w:tcPr>
          <w:p>
            <w:pPr>
              <w:spacing w:after="0" w:before="0"/>
              <w:jc w:val="left"/>
            </w:pPr>
            <w:r/>
            <w:r>
              <w:rPr>
                <w:rFonts w:ascii="Times New Roman" w:hAnsi="Times New Roman"/>
                <w:sz w:val="18"/>
              </w:rPr>
              <w:t>numpy</w:t>
            </w:r>
          </w:p>
        </w:tc>
        <w:tc>
          <w:tcPr>
            <w:tcW w:type="dxa" w:w="4513"/>
          </w:tcPr>
          <w:p>
            <w:pPr>
              <w:spacing w:after="0" w:before="0"/>
              <w:jc w:val="left"/>
            </w:pPr>
            <w:r/>
            <w:r>
              <w:rPr>
                <w:rFonts w:ascii="Times New Roman" w:hAnsi="Times New Roman"/>
                <w:sz w:val="18"/>
              </w:rPr>
              <w:t>2.2.6</w:t>
            </w:r>
          </w:p>
        </w:tc>
      </w:tr>
      <w:tr>
        <w:tc>
          <w:tcPr>
            <w:tcW w:type="dxa" w:w="4513"/>
          </w:tcPr>
          <w:p>
            <w:pPr>
              <w:spacing w:after="0" w:before="0"/>
              <w:jc w:val="left"/>
            </w:pPr>
            <w:r/>
            <w:r>
              <w:rPr>
                <w:rFonts w:ascii="Times New Roman" w:hAnsi="Times New Roman"/>
                <w:sz w:val="18"/>
              </w:rPr>
              <w:t>pandas</w:t>
            </w:r>
          </w:p>
        </w:tc>
        <w:tc>
          <w:tcPr>
            <w:tcW w:type="dxa" w:w="4513"/>
          </w:tcPr>
          <w:p>
            <w:pPr>
              <w:spacing w:after="0" w:before="0"/>
              <w:jc w:val="left"/>
            </w:pPr>
            <w:r/>
            <w:r>
              <w:rPr>
                <w:rFonts w:ascii="Times New Roman" w:hAnsi="Times New Roman"/>
                <w:sz w:val="18"/>
              </w:rPr>
              <w:t>2.2.3</w:t>
            </w:r>
          </w:p>
        </w:tc>
      </w:tr>
      <w:tr>
        <w:tc>
          <w:tcPr>
            <w:tcW w:type="dxa" w:w="4513"/>
          </w:tcPr>
          <w:p>
            <w:pPr>
              <w:spacing w:after="0" w:before="0"/>
              <w:jc w:val="left"/>
            </w:pPr>
            <w:r/>
            <w:r>
              <w:rPr>
                <w:rFonts w:ascii="Times New Roman" w:hAnsi="Times New Roman"/>
                <w:sz w:val="18"/>
              </w:rPr>
              <w:t>SciPy</w:t>
            </w:r>
          </w:p>
        </w:tc>
        <w:tc>
          <w:tcPr>
            <w:tcW w:type="dxa" w:w="4513"/>
          </w:tcPr>
          <w:p>
            <w:pPr>
              <w:spacing w:after="0" w:before="0"/>
              <w:jc w:val="left"/>
            </w:pPr>
            <w:r/>
            <w:r>
              <w:rPr>
                <w:rFonts w:ascii="Times New Roman" w:hAnsi="Times New Roman"/>
                <w:sz w:val="18"/>
              </w:rPr>
              <w:t>1.15.2</w:t>
            </w:r>
          </w:p>
        </w:tc>
      </w:tr>
      <w:tr>
        <w:tc>
          <w:tcPr>
            <w:tcW w:type="dxa" w:w="4513"/>
          </w:tcPr>
          <w:p>
            <w:pPr>
              <w:spacing w:after="0" w:before="0"/>
              <w:jc w:val="left"/>
            </w:pPr>
            <w:r/>
            <w:r>
              <w:rPr>
                <w:rFonts w:ascii="Times New Roman" w:hAnsi="Times New Roman"/>
                <w:sz w:val="18"/>
              </w:rPr>
              <w:t>statsmodels</w:t>
            </w:r>
          </w:p>
        </w:tc>
        <w:tc>
          <w:tcPr>
            <w:tcW w:type="dxa" w:w="4513"/>
          </w:tcPr>
          <w:p>
            <w:pPr>
              <w:spacing w:after="0" w:before="0"/>
              <w:jc w:val="left"/>
            </w:pPr>
            <w:r/>
            <w:r>
              <w:rPr>
                <w:rFonts w:ascii="Times New Roman" w:hAnsi="Times New Roman"/>
                <w:sz w:val="18"/>
              </w:rPr>
              <w:t>0.14.6</w:t>
            </w:r>
          </w:p>
        </w:tc>
      </w:tr>
      <w:tr>
        <w:tc>
          <w:tcPr>
            <w:tcW w:type="dxa" w:w="4513"/>
          </w:tcPr>
          <w:p>
            <w:pPr>
              <w:spacing w:after="0" w:before="0"/>
              <w:jc w:val="left"/>
            </w:pPr>
            <w:r/>
            <w:r>
              <w:rPr>
                <w:rFonts w:ascii="Times New Roman" w:hAnsi="Times New Roman"/>
                <w:sz w:val="18"/>
              </w:rPr>
              <w:t>NetworkX</w:t>
            </w:r>
          </w:p>
        </w:tc>
        <w:tc>
          <w:tcPr>
            <w:tcW w:type="dxa" w:w="4513"/>
          </w:tcPr>
          <w:p>
            <w:pPr>
              <w:spacing w:after="0" w:before="0"/>
              <w:jc w:val="left"/>
            </w:pPr>
            <w:r/>
            <w:r>
              <w:rPr>
                <w:rFonts w:ascii="Times New Roman" w:hAnsi="Times New Roman"/>
                <w:sz w:val="18"/>
              </w:rPr>
              <w:t>3.4.2</w:t>
            </w:r>
          </w:p>
        </w:tc>
      </w:tr>
      <w:tr>
        <w:tc>
          <w:tcPr>
            <w:tcW w:type="dxa" w:w="4513"/>
          </w:tcPr>
          <w:p>
            <w:pPr>
              <w:spacing w:after="0" w:before="0"/>
              <w:jc w:val="left"/>
            </w:pPr>
            <w:r/>
            <w:r>
              <w:rPr>
                <w:rFonts w:ascii="Times New Roman" w:hAnsi="Times New Roman"/>
                <w:sz w:val="18"/>
              </w:rPr>
              <w:t>requests</w:t>
            </w:r>
          </w:p>
        </w:tc>
        <w:tc>
          <w:tcPr>
            <w:tcW w:type="dxa" w:w="4513"/>
          </w:tcPr>
          <w:p>
            <w:pPr>
              <w:spacing w:after="0" w:before="0"/>
              <w:jc w:val="left"/>
            </w:pPr>
            <w:r/>
            <w:r>
              <w:rPr>
                <w:rFonts w:ascii="Times New Roman" w:hAnsi="Times New Roman"/>
                <w:sz w:val="18"/>
              </w:rPr>
              <w:t>2.34.2</w:t>
            </w:r>
          </w:p>
        </w:tc>
      </w:tr>
      <w:tr>
        <w:tc>
          <w:tcPr>
            <w:tcW w:type="dxa" w:w="4513"/>
          </w:tcPr>
          <w:p>
            <w:pPr>
              <w:spacing w:after="0" w:before="0"/>
              <w:jc w:val="left"/>
            </w:pPr>
            <w:r/>
            <w:r>
              <w:rPr>
                <w:rFonts w:ascii="Times New Roman" w:hAnsi="Times New Roman"/>
                <w:sz w:val="18"/>
              </w:rPr>
              <w:t>Label-permutation seed</w:t>
            </w:r>
          </w:p>
        </w:tc>
        <w:tc>
          <w:tcPr>
            <w:tcW w:type="dxa" w:w="4513"/>
          </w:tcPr>
          <w:p>
            <w:pPr>
              <w:spacing w:after="0" w:before="0"/>
              <w:jc w:val="left"/>
            </w:pPr>
            <w:r/>
            <w:r>
              <w:rPr>
                <w:rFonts w:ascii="Times New Roman" w:hAnsi="Times New Roman"/>
                <w:sz w:val="18"/>
              </w:rPr>
              <w:t>20260808</w:t>
            </w:r>
          </w:p>
        </w:tc>
      </w:tr>
      <w:tr>
        <w:tc>
          <w:tcPr>
            <w:tcW w:type="dxa" w:w="4513"/>
          </w:tcPr>
          <w:p>
            <w:pPr>
              <w:spacing w:after="0" w:before="0"/>
              <w:jc w:val="left"/>
            </w:pPr>
            <w:r/>
            <w:r>
              <w:rPr>
                <w:rFonts w:ascii="Times New Roman" w:hAnsi="Times New Roman"/>
                <w:sz w:val="18"/>
              </w:rPr>
              <w:t>Bootstrap seed</w:t>
            </w:r>
          </w:p>
        </w:tc>
        <w:tc>
          <w:tcPr>
            <w:tcW w:type="dxa" w:w="4513"/>
          </w:tcPr>
          <w:p>
            <w:pPr>
              <w:spacing w:after="0" w:before="0"/>
              <w:jc w:val="left"/>
            </w:pPr>
            <w:r/>
            <w:r>
              <w:rPr>
                <w:rFonts w:ascii="Times New Roman" w:hAnsi="Times New Roman"/>
                <w:sz w:val="18"/>
              </w:rPr>
              <w:t>20260809</w:t>
            </w:r>
          </w:p>
        </w:tc>
      </w:tr>
      <w:tr>
        <w:tc>
          <w:tcPr>
            <w:tcW w:type="dxa" w:w="4513"/>
          </w:tcPr>
          <w:p>
            <w:pPr>
              <w:spacing w:after="0" w:before="0"/>
              <w:jc w:val="left"/>
            </w:pPr>
            <w:r/>
            <w:r>
              <w:rPr>
                <w:rFonts w:ascii="Times New Roman" w:hAnsi="Times New Roman"/>
                <w:sz w:val="18"/>
              </w:rPr>
              <w:t>Permutation-null seed</w:t>
            </w:r>
          </w:p>
        </w:tc>
        <w:tc>
          <w:tcPr>
            <w:tcW w:type="dxa" w:w="4513"/>
          </w:tcPr>
          <w:p>
            <w:pPr>
              <w:spacing w:after="0" w:before="0"/>
              <w:jc w:val="left"/>
            </w:pPr>
            <w:r/>
            <w:r>
              <w:rPr>
                <w:rFonts w:ascii="Times New Roman" w:hAnsi="Times New Roman"/>
                <w:sz w:val="18"/>
              </w:rPr>
              <w:t>20260811</w:t>
            </w:r>
          </w:p>
        </w:tc>
      </w:tr>
      <w:tr>
        <w:tc>
          <w:tcPr>
            <w:tcW w:type="dxa" w:w="4513"/>
          </w:tcPr>
          <w:p>
            <w:pPr>
              <w:spacing w:after="0" w:before="0"/>
              <w:jc w:val="left"/>
            </w:pPr>
            <w:r/>
            <w:r>
              <w:rPr>
                <w:rFonts w:ascii="Times New Roman" w:hAnsi="Times New Roman"/>
                <w:sz w:val="18"/>
              </w:rPr>
              <w:t>Power-simulation seed</w:t>
            </w:r>
          </w:p>
        </w:tc>
        <w:tc>
          <w:tcPr>
            <w:tcW w:type="dxa" w:w="4513"/>
          </w:tcPr>
          <w:p>
            <w:pPr>
              <w:spacing w:after="0" w:before="0"/>
              <w:jc w:val="left"/>
            </w:pPr>
            <w:r/>
            <w:r>
              <w:rPr>
                <w:rFonts w:ascii="Times New Roman" w:hAnsi="Times New Roman"/>
                <w:sz w:val="18"/>
              </w:rPr>
              <w:t>20260812</w:t>
            </w:r>
          </w:p>
        </w:tc>
      </w:tr>
      <w:tr>
        <w:tc>
          <w:tcPr>
            <w:tcW w:type="dxa" w:w="4513"/>
          </w:tcPr>
          <w:p>
            <w:pPr>
              <w:spacing w:after="0" w:before="0"/>
              <w:jc w:val="left"/>
            </w:pPr>
            <w:r/>
            <w:r>
              <w:rPr>
                <w:rFonts w:ascii="Times New Roman" w:hAnsi="Times New Roman"/>
                <w:sz w:val="18"/>
              </w:rPr>
              <w:t>Effect-size bootstrap seed</w:t>
            </w:r>
          </w:p>
        </w:tc>
        <w:tc>
          <w:tcPr>
            <w:tcW w:type="dxa" w:w="4513"/>
          </w:tcPr>
          <w:p>
            <w:pPr>
              <w:spacing w:after="0" w:before="0"/>
              <w:jc w:val="left"/>
            </w:pPr>
            <w:r/>
            <w:r>
              <w:rPr>
                <w:rFonts w:ascii="Times New Roman" w:hAnsi="Times New Roman"/>
                <w:sz w:val="18"/>
              </w:rPr>
              <w:t>20260813</w:t>
            </w:r>
          </w:p>
        </w:tc>
      </w:tr>
      <w:tr>
        <w:tc>
          <w:tcPr>
            <w:tcW w:type="dxa" w:w="4513"/>
          </w:tcPr>
          <w:p>
            <w:pPr>
              <w:spacing w:after="0" w:before="0"/>
              <w:jc w:val="left"/>
            </w:pPr>
            <w:r/>
            <w:r>
              <w:rPr>
                <w:rFonts w:ascii="Times New Roman" w:hAnsi="Times New Roman"/>
                <w:sz w:val="18"/>
              </w:rPr>
              <w:t>Stratified-permutation seed</w:t>
            </w:r>
          </w:p>
        </w:tc>
        <w:tc>
          <w:tcPr>
            <w:tcW w:type="dxa" w:w="4513"/>
          </w:tcPr>
          <w:p>
            <w:pPr>
              <w:spacing w:after="0" w:before="0"/>
              <w:jc w:val="left"/>
            </w:pPr>
            <w:r/>
            <w:r>
              <w:rPr>
                <w:rFonts w:ascii="Times New Roman" w:hAnsi="Times New Roman"/>
                <w:sz w:val="18"/>
              </w:rPr>
              <w:t>20260814</w:t>
            </w:r>
          </w:p>
        </w:tc>
      </w:tr>
      <w:tr>
        <w:tc>
          <w:tcPr>
            <w:tcW w:type="dxa" w:w="4513"/>
          </w:tcPr>
          <w:p>
            <w:pPr>
              <w:spacing w:after="0" w:before="0"/>
              <w:jc w:val="left"/>
            </w:pPr>
            <w:r/>
            <w:r>
              <w:rPr>
                <w:rFonts w:ascii="Times New Roman" w:hAnsi="Times New Roman"/>
                <w:sz w:val="18"/>
              </w:rPr>
              <w:t>Affiliation-multiplicity seed</w:t>
            </w:r>
          </w:p>
        </w:tc>
        <w:tc>
          <w:tcPr>
            <w:tcW w:type="dxa" w:w="4513"/>
          </w:tcPr>
          <w:p>
            <w:pPr>
              <w:spacing w:after="0" w:before="0"/>
              <w:jc w:val="left"/>
            </w:pPr>
            <w:r/>
            <w:r>
              <w:rPr>
                <w:rFonts w:ascii="Times New Roman" w:hAnsi="Times New Roman"/>
                <w:sz w:val="18"/>
              </w:rPr>
              <w:t>20260815</w:t>
            </w:r>
          </w:p>
        </w:tc>
      </w:tr>
      <w:tr>
        <w:tc>
          <w:tcPr>
            <w:tcW w:type="dxa" w:w="4513"/>
          </w:tcPr>
          <w:p>
            <w:pPr>
              <w:spacing w:after="0" w:before="0"/>
              <w:jc w:val="left"/>
            </w:pPr>
            <w:r/>
            <w:r>
              <w:rPr>
                <w:rFonts w:ascii="Times New Roman" w:hAnsi="Times New Roman"/>
                <w:sz w:val="18"/>
              </w:rPr>
              <w:t>Betweenness pivot seeds</w:t>
            </w:r>
          </w:p>
        </w:tc>
        <w:tc>
          <w:tcPr>
            <w:tcW w:type="dxa" w:w="4513"/>
          </w:tcPr>
          <w:p>
            <w:pPr>
              <w:spacing w:after="0" w:before="0"/>
              <w:jc w:val="left"/>
            </w:pPr>
            <w:r/>
            <w:r>
              <w:rPr>
                <w:rFonts w:ascii="Times New Roman" w:hAnsi="Times New Roman"/>
                <w:sz w:val="18"/>
              </w:rPr>
              <w:t>42, 1, 7, 2026</w:t>
            </w:r>
          </w:p>
        </w:tc>
      </w:tr>
      <w:tr>
        <w:tc>
          <w:tcPr>
            <w:tcW w:type="dxa" w:w="4513"/>
          </w:tcPr>
          <w:p>
            <w:pPr>
              <w:spacing w:after="0" w:before="0"/>
              <w:jc w:val="left"/>
            </w:pPr>
            <w:r/>
            <w:r>
              <w:rPr>
                <w:rFonts w:ascii="Times New Roman" w:hAnsi="Times New Roman"/>
                <w:sz w:val="18"/>
              </w:rPr>
              <w:t>Placebo-exclusion seed (S20)</w:t>
            </w:r>
          </w:p>
        </w:tc>
        <w:tc>
          <w:tcPr>
            <w:tcW w:type="dxa" w:w="4513"/>
          </w:tcPr>
          <w:p>
            <w:pPr>
              <w:spacing w:after="0" w:before="0"/>
              <w:jc w:val="left"/>
            </w:pPr>
            <w:r/>
            <w:r>
              <w:rPr>
                <w:rFonts w:ascii="Times New Roman" w:hAnsi="Times New Roman"/>
                <w:sz w:val="18"/>
              </w:rPr>
              <w:t>20260905</w:t>
            </w:r>
          </w:p>
        </w:tc>
      </w:tr>
      <w:tr>
        <w:tc>
          <w:tcPr>
            <w:tcW w:type="dxa" w:w="4513"/>
          </w:tcPr>
          <w:p>
            <w:pPr>
              <w:spacing w:after="0" w:before="0"/>
              <w:jc w:val="left"/>
            </w:pPr>
            <w:r/>
            <w:r>
              <w:rPr>
                <w:rFonts w:ascii="Times New Roman" w:hAnsi="Times New Roman"/>
                <w:sz w:val="18"/>
              </w:rPr>
              <w:t>Table 1 bootstrap, share intervals, placebo at other caps, calibrated power, matched subsamples (analysis/17_review_response_round2.py)</w:t>
            </w:r>
          </w:p>
        </w:tc>
        <w:tc>
          <w:tcPr>
            <w:tcW w:type="dxa" w:w="4513"/>
          </w:tcPr>
          <w:p>
            <w:pPr>
              <w:spacing w:after="0" w:before="0"/>
              <w:jc w:val="left"/>
            </w:pPr>
            <w:r/>
            <w:r>
              <w:rPr>
                <w:rFonts w:ascii="Times New Roman" w:hAnsi="Times New Roman"/>
                <w:sz w:val="18"/>
              </w:rPr>
              <w:t>20260907; share intervals 20260908</w:t>
            </w:r>
          </w:p>
        </w:tc>
      </w:tr>
      <w:tr>
        <w:tc>
          <w:tcPr>
            <w:tcW w:type="dxa" w:w="4513"/>
          </w:tcPr>
          <w:p>
            <w:pPr>
              <w:spacing w:after="0" w:before="0"/>
              <w:jc w:val="left"/>
            </w:pPr>
            <w:r/>
            <w:r>
              <w:rPr>
                <w:rFonts w:ascii="Times New Roman" w:hAnsi="Times New Roman"/>
                <w:sz w:val="18"/>
              </w:rPr>
              <w:t>Subsample-benchmark seed (S21; per-draw permutation seeds 20260905 + 100 + d and + 200 + d)</w:t>
            </w:r>
          </w:p>
        </w:tc>
        <w:tc>
          <w:tcPr>
            <w:tcW w:type="dxa" w:w="4513"/>
          </w:tcPr>
          <w:p>
            <w:pPr>
              <w:spacing w:after="0" w:before="0"/>
              <w:jc w:val="left"/>
            </w:pPr>
            <w:r/>
            <w:r>
              <w:rPr>
                <w:rFonts w:ascii="Times New Roman" w:hAnsi="Times New Roman"/>
                <w:sz w:val="18"/>
              </w:rPr>
              <w:t>20260906</w:t>
            </w:r>
          </w:p>
        </w:tc>
      </w:tr>
      <w:tr>
        <w:tc>
          <w:tcPr>
            <w:tcW w:type="dxa" w:w="4513"/>
          </w:tcPr>
          <w:p>
            <w:pPr>
              <w:spacing w:after="0" w:before="0"/>
              <w:jc w:val="left"/>
            </w:pPr>
            <w:r/>
            <w:r>
              <w:rPr>
                <w:rFonts w:ascii="Times New Roman" w:hAnsi="Times New Roman"/>
                <w:sz w:val="18"/>
              </w:rPr>
              <w:t>Restricted-null and catchment-permutation seeds (S22)</w:t>
            </w:r>
          </w:p>
        </w:tc>
        <w:tc>
          <w:tcPr>
            <w:tcW w:type="dxa" w:w="4513"/>
          </w:tcPr>
          <w:p>
            <w:pPr>
              <w:spacing w:after="0" w:before="0"/>
              <w:jc w:val="left"/>
            </w:pPr>
            <w:r/>
            <w:r>
              <w:rPr>
                <w:rFonts w:ascii="Times New Roman" w:hAnsi="Times New Roman"/>
                <w:sz w:val="18"/>
              </w:rPr>
              <w:t>20260814 (density strata; reused from the country-stratified run); 20260912 (residual permutation); 20260916 (catchment)</w:t>
            </w:r>
          </w:p>
        </w:tc>
      </w:tr>
      <w:tr>
        <w:tc>
          <w:tcPr>
            <w:tcW w:type="dxa" w:w="4513"/>
          </w:tcPr>
          <w:p>
            <w:pPr>
              <w:spacing w:after="0" w:before="0"/>
              <w:jc w:val="left"/>
            </w:pPr>
            <w:r/>
            <w:r>
              <w:rPr>
                <w:rFonts w:ascii="Times New Roman" w:hAnsi="Times New Roman"/>
                <w:sz w:val="18"/>
              </w:rPr>
              <w:t>Deposit</w:t>
            </w:r>
          </w:p>
        </w:tc>
        <w:tc>
          <w:tcPr>
            <w:tcW w:type="dxa" w:w="4513"/>
          </w:tcPr>
          <w:p>
            <w:pPr>
              <w:spacing w:after="0" w:before="0"/>
              <w:jc w:val="left"/>
            </w:pPr>
            <w:r/>
            <w:r>
              <w:rPr>
                <w:rFonts w:ascii="Times New Roman" w:hAnsi="Times New Roman"/>
                <w:sz w:val="18"/>
              </w:rPr>
              <w:t>https://doi.org/10.5281/zenodo.21877240 (v1.0.3)</w:t>
            </w:r>
          </w:p>
        </w:tc>
      </w:tr>
    </w:tbl>
    <w:p/>
    <w:p>
      <w:pPr>
        <w:spacing w:after="120"/>
      </w:pPr>
      <w:r>
        <w:rPr>
          <w:b w:val="0"/>
          <w:i w:val="0"/>
        </w:rPr>
        <w:t>Table S8. Software versions and random seeds. I reproduced the reported estimates independently under Python 3.11.15 with numpy 2.3.5, pandas 3.0.2, SciPy 1.17.1, and NetworkX 3.6.1, so they are not sensitive to the versions of the numerical or graph libraries. I fixed the seeds in advance as arbitrary integers so that each stochastic procedure reproduces exactly. The eight-digit form is a naming convention that keeps them distinct and encodes no execution date. Under the same seed, the headline permutation p is .0088 in the deposited environment and .0092 under the original library versions. The two values differ by less than one Monte Carlo standard error (about .0013 at 5,000 refits), and the deposited value is the one reported. All seven seeds of the original analyses are defined as module constants in analysis/15_reviewer_response_analyses.py. The seeds of S20–S22 sit in analysis/16_review_response_2026_09.py and analysis/17_review_response_round2.py in the deposited repository. The deposit's verification script (verify.py) re-executes every reported check.</w:t>
      </w:r>
    </w:p>
    <w:p>
      <w:pPr>
        <w:pStyle w:val="2"/>
      </w:pPr>
      <w:r>
        <w:rPr>
          <w:b w:val="0"/>
          <w:i w:val="0"/>
        </w:rPr>
        <w:t>S15 Design limitations of the cross-field probe</w:t>
      </w:r>
    </w:p>
    <w:p>
      <w:pPr/>
      <w:r>
        <w:rPr>
          <w:b w:val="0"/>
          <w:i w:val="0"/>
        </w:rPr>
        <w:t>I designed the CAR-T probe as a test of the protocol's discriminating power, not as a replication of the silicon-carbide result, and it runs on a reduced apparatus. The scale-matched benchmark of S21 shows that at 5,000 works it cannot serve as such a test, so its yield is limited to the two reproductions noted in S19. Five limitations bound what it can establish. First, the sample is capped rather than complete. The probe extracts 5,000 works from Topic T11491 by cursor pagination, against the 54,671-work full population used for silicon carbide. It inherits the earlier-year skew of unrandomized cursor order documented in S2, without separate correction. Second, the apparatus is shared rather than independent. The probe uses the same Wikidata registry, the same distance-plus-polygon classifier, the same Nominatim protocol, and the same network-construction code. Any error in that apparatus is therefore common to both fields, and agreement between them is not evidence that either is correct. That is why I frame the probe as a test of whether the checks order the two fields differently. Third, the exposure is less well characterized. The ROR audit (S1), the registry triangulation (S3), the misclassification simulation (S11), the node- and edge-identity audits (S13), and the country fixed-effects specification (S9) were not run for CAR-T. The positive-class overlap between the two classification methods is 0.11% and 5.9%, against 2.1% and 19.5% in silicon carbide. The probe also confirmed that two of the three biotechnology clusters motivating it are entirely absent from the registry. Fourth, the tightest threshold rests on very few treated units: the 500 m cell contains 22 treated institutions, and I report its coefficient of 0.49 as observed with no inference drawn. Fifth, the probe's negative outcome is a non-detection rather than a demonstrated absence. Equivalence against the IRR 0.80–1.25 bound is not established for CAR-T under bootstrap standard errors (TOST p = .079). Nor is it established for silicon carbide's consortium-excluded residual (p = .110), though the silicon-carbide headline gives .443. The naive raw-affiliation network in CAR-T reproduces the silicon-carbide pattern, a highly significant park association (p = 9.6×10⁻⁵) that vanishes on entity resolution (degree p = .692, betweenness p = .243, permutation p = .521).</w:t>
      </w:r>
    </w:p>
    <w:p>
      <w:pPr>
        <w:pStyle w:val="2"/>
      </w:pPr>
      <w:r>
        <w:rPr>
          <w:b w:val="0"/>
          <w:i w:val="0"/>
        </w:rPr>
        <w:t>S16 The reporting protocol</w:t>
      </w:r>
    </w:p>
    <w:p>
      <w:pPr/>
      <w:r>
        <w:rPr>
          <w:b w:val="0"/>
          <w:i w:val="0"/>
        </w:rPr>
        <w:t>Table S9 gives the fourteen-item protocol from which the checks reported in the main text are drawn. It comprises a registry-triangulation prerequisite, a specification-level equivalence test, and twelve numbered checks. Each item states the failure mode it targets, an explicit pass/fail rule, a transferability tag, and its outcome in this study. The tags distinguish items that apply to any quantitative design (equivalence test; checks 1, 4, 6, 12), to any constructed-network design (checks 5, 9, 11), and to spatial designs only (prerequisite; checks 2, 3, 7, 8, 10). The checks are diagnostics rather than hypothesis tests. The test-bed hypotheses of S17 are posed conditional on the node set, the edge set, and the units being correct, and the checks interrogate that conditioning.</w:t>
      </w:r>
    </w:p>
    <w:tbl>
      <w:tblPr>
        <w:tblW w:type="auto" w:w="0"/>
        <w:tblLayout w:type="autofit"/>
        <w:tblLook w:firstColumn="1" w:firstRow="1" w:lastColumn="0" w:lastRow="0" w:noHBand="0" w:noVBand="1" w:val="04A0"/>
        <w:tblBorders>
          <w:top w:val="single" w:sz="4" w:space="0" w:color="000000"/>
          <w:bottom w:val="single" w:sz="4" w:space="0" w:color="000000"/>
          <w:insideH w:val="single" w:sz="4" w:space="0" w:color="000000"/>
          <w:left w:val="nil"/>
          <w:right w:val="nil"/>
          <w:insideV w:val="nil"/>
        </w:tblBorders>
      </w:tblPr>
      <w:tblGrid>
        <w:gridCol w:w="2256"/>
        <w:gridCol w:w="2256"/>
        <w:gridCol w:w="2256"/>
        <w:gridCol w:w="2256"/>
      </w:tblGrid>
      <w:tr>
        <w:tc>
          <w:tcPr>
            <w:tcW w:type="dxa" w:w="1814"/>
          </w:tcPr>
          <w:p>
            <w:pPr>
              <w:spacing w:after="0" w:before="0"/>
              <w:jc w:val="left"/>
            </w:pPr>
            <w:r/>
            <w:r>
              <w:rPr>
                <w:rFonts w:ascii="Times New Roman" w:hAnsi="Times New Roman"/>
                <w:b/>
                <w:sz w:val="16"/>
              </w:rPr>
              <w:t>Item (tag)</w:t>
            </w:r>
          </w:p>
        </w:tc>
        <w:tc>
          <w:tcPr>
            <w:tcW w:type="dxa" w:w="1814"/>
          </w:tcPr>
          <w:p>
            <w:pPr>
              <w:spacing w:after="0" w:before="0"/>
              <w:jc w:val="left"/>
            </w:pPr>
            <w:r/>
            <w:r>
              <w:rPr>
                <w:rFonts w:ascii="Times New Roman" w:hAnsi="Times New Roman"/>
                <w:b/>
                <w:sz w:val="16"/>
              </w:rPr>
              <w:t>Failure mode targeted</w:t>
            </w:r>
          </w:p>
        </w:tc>
        <w:tc>
          <w:tcPr>
            <w:tcW w:type="dxa" w:w="2948"/>
          </w:tcPr>
          <w:p>
            <w:pPr>
              <w:spacing w:after="0" w:before="0"/>
              <w:jc w:val="left"/>
            </w:pPr>
            <w:r/>
            <w:r>
              <w:rPr>
                <w:rFonts w:ascii="Times New Roman" w:hAnsi="Times New Roman"/>
                <w:b/>
                <w:sz w:val="16"/>
              </w:rPr>
              <w:t>Decision rule / minimum reporting</w:t>
            </w:r>
          </w:p>
        </w:tc>
        <w:tc>
          <w:tcPr>
            <w:tcW w:type="dxa" w:w="2948"/>
          </w:tcPr>
          <w:p>
            <w:pPr>
              <w:spacing w:after="0" w:before="0"/>
              <w:jc w:val="left"/>
            </w:pPr>
            <w:r/>
            <w:r>
              <w:rPr>
                <w:rFonts w:ascii="Times New Roman" w:hAnsi="Times New Roman"/>
                <w:b/>
                <w:sz w:val="16"/>
              </w:rPr>
              <w:t>Outcome in this study</w:t>
            </w:r>
          </w:p>
        </w:tc>
      </w:tr>
      <w:tr>
        <w:tc>
          <w:tcPr>
            <w:tcW w:type="dxa" w:w="1814"/>
          </w:tcPr>
          <w:p>
            <w:pPr>
              <w:spacing w:after="0" w:before="0"/>
              <w:jc w:val="left"/>
            </w:pPr>
            <w:r/>
            <w:r>
              <w:rPr>
                <w:rFonts w:ascii="Times New Roman" w:hAnsi="Times New Roman"/>
                <w:sz w:val="16"/>
              </w:rPr>
              <w:t>Registry triangulation, prerequisite (S)</w:t>
            </w:r>
          </w:p>
        </w:tc>
        <w:tc>
          <w:tcPr>
            <w:tcW w:type="dxa" w:w="1814"/>
          </w:tcPr>
          <w:p>
            <w:pPr>
              <w:spacing w:after="0" w:before="0"/>
              <w:jc w:val="left"/>
            </w:pPr>
            <w:r/>
            <w:r>
              <w:rPr>
                <w:rFonts w:ascii="Times New Roman" w:hAnsi="Times New Roman"/>
                <w:sz w:val="16"/>
              </w:rPr>
              <w:t>Ground-truth entries that are defunct, not yet open, or misattributed</w:t>
            </w:r>
          </w:p>
        </w:tc>
        <w:tc>
          <w:tcPr>
            <w:tcW w:type="dxa" w:w="2948"/>
          </w:tcPr>
          <w:p>
            <w:pPr>
              <w:spacing w:after="0" w:before="0"/>
              <w:jc w:val="left"/>
            </w:pPr>
            <w:r/>
            <w:r>
              <w:rPr>
                <w:rFonts w:ascii="Times New Roman" w:hAnsi="Times New Roman"/>
                <w:sz w:val="16"/>
              </w:rPr>
              <w:t>Triangulate the most-matched registry entries against independent sources before any downstream check; report the share of the positive class audited</w:t>
            </w:r>
          </w:p>
        </w:tc>
        <w:tc>
          <w:tcPr>
            <w:tcW w:type="dxa" w:w="2948"/>
          </w:tcPr>
          <w:p>
            <w:pPr>
              <w:spacing w:after="0" w:before="0"/>
              <w:jc w:val="left"/>
            </w:pPr>
            <w:r/>
            <w:r>
              <w:rPr>
                <w:rFonts w:ascii="Times New Roman" w:hAnsi="Times New Roman"/>
                <w:sz w:val="16"/>
              </w:rPr>
              <w:t>10 of 231 parks triangulated, covering 1,302 of 2,491 matched records; 2 found misclassified</w:t>
            </w:r>
          </w:p>
        </w:tc>
      </w:tr>
      <w:tr>
        <w:tc>
          <w:tcPr>
            <w:tcW w:type="dxa" w:w="1814"/>
          </w:tcPr>
          <w:p>
            <w:pPr>
              <w:spacing w:after="0" w:before="0"/>
              <w:jc w:val="left"/>
            </w:pPr>
            <w:r/>
            <w:r>
              <w:rPr>
                <w:rFonts w:ascii="Times New Roman" w:hAnsi="Times New Roman"/>
                <w:sz w:val="16"/>
              </w:rPr>
              <w:t>Equivalence test, TOST (Q)</w:t>
            </w:r>
          </w:p>
        </w:tc>
        <w:tc>
          <w:tcPr>
            <w:tcW w:type="dxa" w:w="1814"/>
          </w:tcPr>
          <w:p>
            <w:pPr>
              <w:spacing w:after="0" w:before="0"/>
              <w:jc w:val="left"/>
            </w:pPr>
            <w:r/>
            <w:r>
              <w:rPr>
                <w:rFonts w:ascii="Times New Roman" w:hAnsi="Times New Roman"/>
                <w:sz w:val="16"/>
              </w:rPr>
              <w:t>A non-significant result read as a confirmed null</w:t>
            </w:r>
          </w:p>
        </w:tc>
        <w:tc>
          <w:tcPr>
            <w:tcW w:type="dxa" w:w="2948"/>
          </w:tcPr>
          <w:p>
            <w:pPr>
              <w:spacing w:after="0" w:before="0"/>
              <w:jc w:val="left"/>
            </w:pPr>
            <w:r/>
            <w:r>
              <w:rPr>
                <w:rFonts w:ascii="Times New Roman" w:hAnsi="Times New Roman"/>
                <w:sz w:val="16"/>
              </w:rPr>
              <w:t>Report TOST p and the 90% CI against a pre-specified bound for every decision-relevant non-significant coefficient; state the bound's provenance</w:t>
            </w:r>
          </w:p>
        </w:tc>
        <w:tc>
          <w:tcPr>
            <w:tcW w:type="dxa" w:w="2948"/>
          </w:tcPr>
          <w:p>
            <w:pPr>
              <w:spacing w:after="0" w:before="0"/>
              <w:jc w:val="left"/>
            </w:pPr>
            <w:r/>
            <w:r>
              <w:rPr>
                <w:rFonts w:ascii="Times New Roman" w:hAnsi="Times New Roman"/>
                <w:sz w:val="16"/>
              </w:rPr>
              <w:t>No threshold or residual supports equivalence under bootstrap SEs; consortium-excluded residual TOST p = .110 against IRR 0.80–1.25 (bound pharmacological, not field-derived)</w:t>
            </w:r>
          </w:p>
        </w:tc>
      </w:tr>
      <w:tr>
        <w:tc>
          <w:tcPr>
            <w:tcW w:type="dxa" w:w="1814"/>
          </w:tcPr>
          <w:p>
            <w:pPr>
              <w:spacing w:after="0" w:before="0"/>
              <w:jc w:val="left"/>
            </w:pPr>
            <w:r/>
            <w:r>
              <w:rPr>
                <w:rFonts w:ascii="Times New Roman" w:hAnsi="Times New Roman"/>
                <w:sz w:val="16"/>
              </w:rPr>
              <w:t>1. VIF collinearity (Q)</w:t>
            </w:r>
          </w:p>
        </w:tc>
        <w:tc>
          <w:tcPr>
            <w:tcW w:type="dxa" w:w="1814"/>
          </w:tcPr>
          <w:p>
            <w:pPr>
              <w:spacing w:after="0" w:before="0"/>
              <w:jc w:val="left"/>
            </w:pPr>
            <w:r/>
            <w:r>
              <w:rPr>
                <w:rFonts w:ascii="Times New Roman" w:hAnsi="Times New Roman"/>
                <w:sz w:val="16"/>
              </w:rPr>
              <w:t>Confound-control distortion</w:t>
            </w:r>
          </w:p>
        </w:tc>
        <w:tc>
          <w:tcPr>
            <w:tcW w:type="dxa" w:w="2948"/>
          </w:tcPr>
          <w:p>
            <w:pPr>
              <w:spacing w:after="0" w:before="0"/>
              <w:jc w:val="left"/>
            </w:pPr>
            <w:r/>
            <w:r>
              <w:rPr>
                <w:rFonts w:ascii="Times New Roman" w:hAnsi="Times New Roman"/>
                <w:sz w:val="16"/>
              </w:rPr>
              <w:t>Report VIFs for every predictor of every reported specification; material only above a stated cut-off (5 here)</w:t>
            </w:r>
          </w:p>
        </w:tc>
        <w:tc>
          <w:tcPr>
            <w:tcW w:type="dxa" w:w="2948"/>
          </w:tcPr>
          <w:p>
            <w:pPr>
              <w:spacing w:after="0" w:before="0"/>
              <w:jc w:val="left"/>
            </w:pPr>
            <w:r/>
            <w:r>
              <w:rPr>
                <w:rFonts w:ascii="Times New Roman" w:hAnsi="Times New Roman"/>
                <w:sz w:val="16"/>
              </w:rPr>
              <w:t>Pass: all VIFs ≤ 1.22 in the main (non-fixed-effects) models; 3.48 and 3.61 when both density radii are entered together, so that model is reported for its park estimate alone</w:t>
            </w:r>
          </w:p>
        </w:tc>
      </w:tr>
      <w:tr>
        <w:tc>
          <w:tcPr>
            <w:tcW w:type="dxa" w:w="1814"/>
          </w:tcPr>
          <w:p>
            <w:pPr>
              <w:spacing w:after="0" w:before="0"/>
              <w:jc w:val="left"/>
            </w:pPr>
            <w:r/>
            <w:r>
              <w:rPr>
                <w:rFonts w:ascii="Times New Roman" w:hAnsi="Times New Roman"/>
                <w:sz w:val="16"/>
              </w:rPr>
              <w:t>2. Threshold sensitivity and radius decoupling (S)</w:t>
            </w:r>
          </w:p>
        </w:tc>
        <w:tc>
          <w:tcPr>
            <w:tcW w:type="dxa" w:w="1814"/>
          </w:tcPr>
          <w:p>
            <w:pPr>
              <w:spacing w:after="0" w:before="0"/>
              <w:jc w:val="left"/>
            </w:pPr>
            <w:r/>
            <w:r>
              <w:rPr>
                <w:rFonts w:ascii="Times New Roman" w:hAnsi="Times New Roman"/>
                <w:sz w:val="16"/>
              </w:rPr>
              <w:t>Construct drift; shared measurement kernels</w:t>
            </w:r>
          </w:p>
        </w:tc>
        <w:tc>
          <w:tcPr>
            <w:tcW w:type="dxa" w:w="2948"/>
          </w:tcPr>
          <w:p>
            <w:pPr>
              <w:spacing w:after="0" w:before="0"/>
              <w:jc w:val="left"/>
            </w:pPr>
            <w:r/>
            <w:r>
              <w:rPr>
                <w:rFonts w:ascii="Times New Roman" w:hAnsi="Times New Roman"/>
                <w:sz w:val="16"/>
              </w:rPr>
              <w:t>Sweep the treatment radius holding covariate vintage constant; vary treatment and covariate radius independently; conclude instability only if an estimate falls outside another's 95% CI, conditional on a justified resolution floor</w:t>
            </w:r>
          </w:p>
        </w:tc>
        <w:tc>
          <w:tcPr>
            <w:tcW w:type="dxa" w:w="2948"/>
          </w:tcPr>
          <w:p>
            <w:pPr>
              <w:spacing w:after="0" w:before="0"/>
              <w:jc w:val="left"/>
            </w:pPr>
            <w:r/>
            <w:r>
              <w:rPr>
                <w:rFonts w:ascii="Times New Roman" w:hAnsi="Times New Roman"/>
                <w:sz w:val="16"/>
              </w:rPr>
              <w:t>IRR 1.15–1.24 mutually consistent from 1,000 to 5,000 m; 0.81 at 500 m, below the resolution floor of the spatial exposure</w:t>
            </w:r>
          </w:p>
        </w:tc>
      </w:tr>
      <w:tr>
        <w:tc>
          <w:tcPr>
            <w:tcW w:type="dxa" w:w="1814"/>
          </w:tcPr>
          <w:p>
            <w:pPr>
              <w:spacing w:after="0" w:before="0"/>
              <w:jc w:val="left"/>
            </w:pPr>
            <w:r/>
            <w:r>
              <w:rPr>
                <w:rFonts w:ascii="Times New Roman" w:hAnsi="Times New Roman"/>
                <w:sz w:val="16"/>
              </w:rPr>
              <w:t>3. Leave-one-park-out (S)</w:t>
            </w:r>
          </w:p>
        </w:tc>
        <w:tc>
          <w:tcPr>
            <w:tcW w:type="dxa" w:w="1814"/>
          </w:tcPr>
          <w:p>
            <w:pPr>
              <w:spacing w:after="0" w:before="0"/>
              <w:jc w:val="left"/>
            </w:pPr>
            <w:r/>
            <w:r>
              <w:rPr>
                <w:rFonts w:ascii="Times New Roman" w:hAnsi="Times New Roman"/>
                <w:sz w:val="16"/>
              </w:rPr>
              <w:t>Single-site dominance</w:t>
            </w:r>
          </w:p>
        </w:tc>
        <w:tc>
          <w:tcPr>
            <w:tcW w:type="dxa" w:w="2948"/>
          </w:tcPr>
          <w:p>
            <w:pPr>
              <w:spacing w:after="0" w:before="0"/>
              <w:jc w:val="left"/>
            </w:pPr>
            <w:r/>
            <w:r>
              <w:rPr>
                <w:rFonts w:ascii="Times New Roman" w:hAnsi="Times New Roman"/>
                <w:sz w:val="16"/>
              </w:rPr>
              <w:t>Re-estimate excluding the most-audited site; informative only if its share of the treated group exceeds ~10%</w:t>
            </w:r>
          </w:p>
        </w:tc>
        <w:tc>
          <w:tcPr>
            <w:tcW w:type="dxa" w:w="2948"/>
          </w:tcPr>
          <w:p>
            <w:pPr>
              <w:spacing w:after="0" w:before="0"/>
              <w:jc w:val="left"/>
            </w:pPr>
            <w:r/>
            <w:r>
              <w:rPr>
                <w:rFonts w:ascii="Times New Roman" w:hAnsi="Times New Roman"/>
                <w:sz w:val="16"/>
              </w:rPr>
              <w:t>Hsinchu = 5 of 187 (2.7%) at baseline: low leverage; 32 of 504 at the headline, IRR 1.243</w:t>
            </w:r>
          </w:p>
        </w:tc>
      </w:tr>
      <w:tr>
        <w:tc>
          <w:tcPr>
            <w:tcW w:type="dxa" w:w="1814"/>
          </w:tcPr>
          <w:p>
            <w:pPr>
              <w:spacing w:after="0" w:before="0"/>
              <w:jc w:val="left"/>
            </w:pPr>
            <w:r/>
            <w:r>
              <w:rPr>
                <w:rFonts w:ascii="Times New Roman" w:hAnsi="Times New Roman"/>
                <w:sz w:val="16"/>
              </w:rPr>
              <w:t>4. Mediator declaration (Q)</w:t>
            </w:r>
          </w:p>
        </w:tc>
        <w:tc>
          <w:tcPr>
            <w:tcW w:type="dxa" w:w="1814"/>
          </w:tcPr>
          <w:p>
            <w:pPr>
              <w:spacing w:after="0" w:before="0"/>
              <w:jc w:val="left"/>
            </w:pPr>
            <w:r/>
            <w:r>
              <w:rPr>
                <w:rFonts w:ascii="Times New Roman" w:hAnsi="Times New Roman"/>
                <w:sz w:val="16"/>
              </w:rPr>
              <w:t>Mediator treated as confounder; non-collapsible rate ratio misread as removed confounding</w:t>
            </w:r>
          </w:p>
        </w:tc>
        <w:tc>
          <w:tcPr>
            <w:tcW w:type="dxa" w:w="2948"/>
          </w:tcPr>
          <w:p>
            <w:pPr>
              <w:spacing w:after="0" w:before="0"/>
              <w:jc w:val="left"/>
            </w:pPr>
            <w:r/>
            <w:r>
              <w:rPr>
                <w:rFonts w:ascii="Times New Roman" w:hAnsi="Times New Roman"/>
                <w:sz w:val="16"/>
              </w:rPr>
              <w:t>Declare each covariate a confounder or a mediator in advance; report a mediator-adjusted estimate as a controlled direct effect and require a full-model permutation before reading it as evidence</w:t>
            </w:r>
          </w:p>
        </w:tc>
        <w:tc>
          <w:tcPr>
            <w:tcW w:type="dxa" w:w="2948"/>
          </w:tcPr>
          <w:p>
            <w:pPr>
              <w:spacing w:after="0" w:before="0"/>
              <w:jc w:val="left"/>
            </w:pPr>
            <w:r/>
            <w:r>
              <w:rPr>
                <w:rFonts w:ascii="Times New Roman" w:hAnsi="Times New Roman"/>
                <w:sz w:val="16"/>
              </w:rPr>
              <w:t>Mediator: baseline controlled direct effect IRR 1.13 (p = .042) fails its permutation (p = .121) and Holm correction; headline 1.202 (permutation p = .0004)</w:t>
            </w:r>
          </w:p>
        </w:tc>
      </w:tr>
      <w:tr>
        <w:tc>
          <w:tcPr>
            <w:tcW w:type="dxa" w:w="1814"/>
          </w:tcPr>
          <w:p>
            <w:pPr>
              <w:spacing w:after="0" w:before="0"/>
              <w:jc w:val="left"/>
            </w:pPr>
            <w:r/>
            <w:r>
              <w:rPr>
                <w:rFonts w:ascii="Times New Roman" w:hAnsi="Times New Roman"/>
                <w:sz w:val="16"/>
              </w:rPr>
              <w:t>5. Label-permutation test (N)</w:t>
            </w:r>
          </w:p>
        </w:tc>
        <w:tc>
          <w:tcPr>
            <w:tcW w:type="dxa" w:w="1814"/>
          </w:tcPr>
          <w:p>
            <w:pPr>
              <w:spacing w:after="0" w:before="0"/>
              <w:jc w:val="left"/>
            </w:pPr>
            <w:r/>
            <w:r>
              <w:rPr>
                <w:rFonts w:ascii="Times New Roman" w:hAnsi="Times New Roman"/>
                <w:sz w:val="16"/>
              </w:rPr>
              <w:t>Anticonservative model SEs under dyadic non-independence</w:t>
            </w:r>
          </w:p>
        </w:tc>
        <w:tc>
          <w:tcPr>
            <w:tcW w:type="dxa" w:w="2948"/>
          </w:tcPr>
          <w:p>
            <w:pPr>
              <w:spacing w:after="0" w:before="0"/>
              <w:jc w:val="left"/>
            </w:pPr>
            <w:r/>
            <w:r>
              <w:rPr>
                <w:rFonts w:ascii="Times New Roman" w:hAnsi="Times New Roman"/>
                <w:sz w:val="16"/>
              </w:rPr>
              <w:t>≥ 5,000 full-model refits for any decision-relevant coefficient; state whether unrestricted or stratified; where model and permutation p disagree, report the permutation value</w:t>
            </w:r>
          </w:p>
        </w:tc>
        <w:tc>
          <w:tcPr>
            <w:tcW w:type="dxa" w:w="2948"/>
          </w:tcPr>
          <w:p>
            <w:pPr>
              <w:spacing w:after="0" w:before="0"/>
              <w:jc w:val="left"/>
            </w:pPr>
            <w:r/>
            <w:r>
              <w:rPr>
                <w:rFonts w:ascii="Times New Roman" w:hAnsi="Times New Roman"/>
                <w:sz w:val="16"/>
              </w:rPr>
              <w:t>Headline permutation p = .0088 against model p = .00012; residual fails at .201; approximately normal null (95th absolute percentile at 1.97 null SDs on the capped design, 1.95 on the full design; S6, S22); stratified p = .0280 / .1868, no verdict changes; prior power under the calibrated variance 18% at IRR 1.10, 22% at 1.1145, 76% at 1.25 (9.2 / 15.4 / 85.2% under the model-based variance; S6)</w:t>
            </w:r>
          </w:p>
        </w:tc>
      </w:tr>
      <w:tr>
        <w:tc>
          <w:tcPr>
            <w:tcW w:type="dxa" w:w="1814"/>
          </w:tcPr>
          <w:p>
            <w:pPr>
              <w:spacing w:after="0" w:before="0"/>
              <w:jc w:val="left"/>
            </w:pPr>
            <w:r/>
            <w:r>
              <w:rPr>
                <w:rFonts w:ascii="Times New Roman" w:hAnsi="Times New Roman"/>
                <w:sz w:val="16"/>
              </w:rPr>
              <w:t>6. Mechanism-distinct specificity outcome (Q)</w:t>
            </w:r>
          </w:p>
        </w:tc>
        <w:tc>
          <w:tcPr>
            <w:tcW w:type="dxa" w:w="1814"/>
          </w:tcPr>
          <w:p>
            <w:pPr>
              <w:spacing w:after="0" w:before="0"/>
              <w:jc w:val="left"/>
            </w:pPr>
            <w:r/>
            <w:r>
              <w:rPr>
                <w:rFonts w:ascii="Times New Roman" w:hAnsi="Times New Roman"/>
                <w:sz w:val="16"/>
              </w:rPr>
              <w:t>Broad undifferentiated confound</w:t>
            </w:r>
          </w:p>
        </w:tc>
        <w:tc>
          <w:tcPr>
            <w:tcW w:type="dxa" w:w="2948"/>
          </w:tcPr>
          <w:p>
            <w:pPr>
              <w:spacing w:after="0" w:before="0"/>
              <w:jc w:val="left"/>
            </w:pPr>
            <w:r/>
            <w:r>
              <w:rPr>
                <w:rFonts w:ascii="Times New Roman" w:hAnsi="Times New Roman"/>
                <w:sz w:val="16"/>
              </w:rPr>
              <w:t>Test a second, mechanism-distinct outcome; a nominally significant specificity result must survive a targeted permutation and family-wise correction before it is read as a confound signal</w:t>
            </w:r>
          </w:p>
        </w:tc>
        <w:tc>
          <w:tcPr>
            <w:tcW w:type="dxa" w:w="2948"/>
          </w:tcPr>
          <w:p>
            <w:pPr>
              <w:spacing w:after="0" w:before="0"/>
              <w:jc w:val="left"/>
            </w:pPr>
            <w:r/>
            <w:r>
              <w:rPr>
                <w:rFonts w:ascii="Times New Roman" w:hAnsi="Times New Roman"/>
                <w:sz w:val="16"/>
              </w:rPr>
              <w:t>Betweenness null at 500–3,000 m; marginal at 5,000 m (p = .011), discounted by permutation (p = .066) and Holm correction</w:t>
            </w:r>
          </w:p>
        </w:tc>
      </w:tr>
      <w:tr>
        <w:tc>
          <w:tcPr>
            <w:tcW w:type="dxa" w:w="1814"/>
          </w:tcPr>
          <w:p>
            <w:pPr>
              <w:spacing w:after="0" w:before="0"/>
              <w:jc w:val="left"/>
            </w:pPr>
            <w:r/>
            <w:r>
              <w:rPr>
                <w:rFonts w:ascii="Times New Roman" w:hAnsi="Times New Roman"/>
                <w:sz w:val="16"/>
              </w:rPr>
              <w:t>7. Geocoding missingness (S)</w:t>
            </w:r>
          </w:p>
        </w:tc>
        <w:tc>
          <w:tcPr>
            <w:tcW w:type="dxa" w:w="1814"/>
          </w:tcPr>
          <w:p>
            <w:pPr>
              <w:spacing w:after="0" w:before="0"/>
              <w:jc w:val="left"/>
            </w:pPr>
            <w:r/>
            <w:r>
              <w:rPr>
                <w:rFonts w:ascii="Times New Roman" w:hAnsi="Times New Roman"/>
                <w:sz w:val="16"/>
              </w:rPr>
              <w:t>Geographic attrition bias</w:t>
            </w:r>
          </w:p>
        </w:tc>
        <w:tc>
          <w:tcPr>
            <w:tcW w:type="dxa" w:w="2948"/>
          </w:tcPr>
          <w:p>
            <w:pPr>
              <w:spacing w:after="0" w:before="0"/>
              <w:jc w:val="left"/>
            </w:pPr>
            <w:r/>
            <w:r>
              <w:rPr>
                <w:rFonts w:ascii="Times New Roman" w:hAnsi="Times New Roman"/>
                <w:sz w:val="16"/>
              </w:rPr>
              <w:t>Report failure rates by country including the worst affected, and state whether failure correlates with the exposure</w:t>
            </w:r>
          </w:p>
        </w:tc>
        <w:tc>
          <w:tcPr>
            <w:tcW w:type="dxa" w:w="2948"/>
          </w:tcPr>
          <w:p>
            <w:pPr>
              <w:spacing w:after="0" w:before="0"/>
              <w:jc w:val="left"/>
            </w:pPr>
            <w:r/>
            <w:r>
              <w:rPr>
                <w:rFonts w:ascii="Times New Roman" w:hAnsi="Times New Roman"/>
                <w:sz w:val="16"/>
              </w:rPr>
              <w:t>13.4% overall; 9–13% in the four focal Asian countries; worst 39–49%; no park-region skew (full audit: Chang, 2026b)</w:t>
            </w:r>
          </w:p>
        </w:tc>
      </w:tr>
      <w:tr>
        <w:tc>
          <w:tcPr>
            <w:tcW w:type="dxa" w:w="1814"/>
          </w:tcPr>
          <w:p>
            <w:pPr>
              <w:spacing w:after="0" w:before="0"/>
              <w:jc w:val="left"/>
            </w:pPr>
            <w:r/>
            <w:r>
              <w:rPr>
                <w:rFonts w:ascii="Times New Roman" w:hAnsi="Times New Roman"/>
                <w:sz w:val="16"/>
              </w:rPr>
              <w:t>8. Registry-error re-test (S)</w:t>
            </w:r>
          </w:p>
        </w:tc>
        <w:tc>
          <w:tcPr>
            <w:tcW w:type="dxa" w:w="1814"/>
          </w:tcPr>
          <w:p>
            <w:pPr>
              <w:spacing w:after="0" w:before="0"/>
              <w:jc w:val="left"/>
            </w:pPr>
            <w:r/>
            <w:r>
              <w:rPr>
                <w:rFonts w:ascii="Times New Roman" w:hAnsi="Times New Roman"/>
                <w:sz w:val="16"/>
              </w:rPr>
              <w:t>Ground-truth status errors</w:t>
            </w:r>
          </w:p>
        </w:tc>
        <w:tc>
          <w:tcPr>
            <w:tcW w:type="dxa" w:w="2948"/>
          </w:tcPr>
          <w:p>
            <w:pPr>
              <w:spacing w:after="0" w:before="0"/>
              <w:jc w:val="left"/>
            </w:pPr>
            <w:r/>
            <w:r>
              <w:rPr>
                <w:rFonts w:ascii="Times New Roman" w:hAnsi="Times New Roman"/>
                <w:sz w:val="16"/>
              </w:rPr>
              <w:t>Remove every self-identified bad entry, re-run matching from scratch, recompute every downstream statistic; pass requires the conclusion to hold under both dropping and recoding</w:t>
            </w:r>
          </w:p>
        </w:tc>
        <w:tc>
          <w:tcPr>
            <w:tcW w:type="dxa" w:w="2948"/>
          </w:tcPr>
          <w:p>
            <w:pPr>
              <w:spacing w:after="0" w:before="0"/>
              <w:jc w:val="left"/>
            </w:pPr>
            <w:r/>
            <w:r>
              <w:rPr>
                <w:rFonts w:ascii="Times New Roman" w:hAnsi="Times New Roman"/>
                <w:sz w:val="16"/>
              </w:rPr>
              <w:t>Pass: headline IRR 1.231 dropped and 1.226 recoded, against 1.235 on the full registry</w:t>
            </w:r>
          </w:p>
        </w:tc>
      </w:tr>
      <w:tr>
        <w:tc>
          <w:tcPr>
            <w:tcW w:type="dxa" w:w="1814"/>
          </w:tcPr>
          <w:p>
            <w:pPr>
              <w:spacing w:after="0" w:before="0"/>
              <w:jc w:val="left"/>
            </w:pPr>
            <w:r/>
            <w:r>
              <w:rPr>
                <w:rFonts w:ascii="Times New Roman" w:hAnsi="Times New Roman"/>
                <w:sz w:val="16"/>
              </w:rPr>
              <w:t>9. Heavy-tail unit contamination (N)</w:t>
            </w:r>
          </w:p>
        </w:tc>
        <w:tc>
          <w:tcPr>
            <w:tcW w:type="dxa" w:w="1814"/>
          </w:tcPr>
          <w:p>
            <w:pPr>
              <w:spacing w:after="0" w:before="0"/>
              <w:jc w:val="left"/>
            </w:pPr>
            <w:r/>
            <w:r>
              <w:rPr>
                <w:rFonts w:ascii="Times New Roman" w:hAnsi="Times New Roman"/>
                <w:sz w:val="16"/>
              </w:rPr>
              <w:t>Mega-paper degree inflation</w:t>
            </w:r>
          </w:p>
        </w:tc>
        <w:tc>
          <w:tcPr>
            <w:tcW w:type="dxa" w:w="2948"/>
          </w:tcPr>
          <w:p>
            <w:pPr>
              <w:spacing w:after="0" w:before="0"/>
              <w:jc w:val="left"/>
            </w:pPr>
            <w:r/>
            <w:r>
              <w:rPr>
                <w:rFonts w:ascii="Times New Roman" w:hAnsi="Times New Roman"/>
                <w:sz w:val="16"/>
              </w:rPr>
              <w:t>Rebuild the network above multiple caps and under fractional counting; re-estimate the primary regression at each. Report separately (i) whether the excluded-sample estimate falls below the full-sample CI lower bound and (ii) the permutation p; report prior permutation power at the residual before reading a non-significant p as contamination; where power &lt; .50, record "residual unresolved at this design's power; contamination neither excluded nor concluded"</w:t>
            </w:r>
          </w:p>
        </w:tc>
        <w:tc>
          <w:tcPr>
            <w:tcW w:type="dxa" w:w="2948"/>
          </w:tcPr>
          <w:p>
            <w:pPr>
              <w:spacing w:after="0" w:before="0"/>
              <w:jc w:val="left"/>
            </w:pPr>
            <w:r/>
            <w:r>
              <w:rPr>
                <w:rFonts w:ascii="Times New Roman" w:hAnsi="Times New Roman"/>
                <w:sz w:val="16"/>
              </w:rPr>
              <w:t>(i) not met: 1.1145 above the lower bound 1.109; (ii) met: permutation p = .201; prior power 22% (15.4% under the model-based variance) &lt; .50, so the verdict is recorded as residual unresolved at this design's power; contamination neither excluded nor concluded. Stable across four caps (permutation p = .199, .135, .201, .080); reproduced by fractional counting with no work excluded (IRR 1.140, permutation p = .306)</w:t>
            </w:r>
          </w:p>
        </w:tc>
      </w:tr>
      <w:tr>
        <w:tc>
          <w:tcPr>
            <w:tcW w:type="dxa" w:w="1814"/>
          </w:tcPr>
          <w:p>
            <w:pPr>
              <w:spacing w:after="0" w:before="0"/>
              <w:jc w:val="left"/>
            </w:pPr>
            <w:r/>
            <w:r>
              <w:rPr>
                <w:rFonts w:ascii="Times New Roman" w:hAnsi="Times New Roman"/>
                <w:sz w:val="16"/>
              </w:rPr>
              <w:t>10. Misclassification-bound simulation (S)</w:t>
            </w:r>
          </w:p>
        </w:tc>
        <w:tc>
          <w:tcPr>
            <w:tcW w:type="dxa" w:w="1814"/>
          </w:tcPr>
          <w:p>
            <w:pPr>
              <w:spacing w:after="0" w:before="0"/>
              <w:jc w:val="left"/>
            </w:pPr>
            <w:r/>
            <w:r>
              <w:rPr>
                <w:rFonts w:ascii="Times New Roman" w:hAnsi="Times New Roman"/>
                <w:sz w:val="16"/>
              </w:rPr>
              <w:t>Attenuation masking a real effect; error generating a spurious one</w:t>
            </w:r>
          </w:p>
        </w:tc>
        <w:tc>
          <w:tcPr>
            <w:tcW w:type="dxa" w:w="2948"/>
          </w:tcPr>
          <w:p>
            <w:pPr>
              <w:spacing w:after="0" w:before="0"/>
              <w:jc w:val="left"/>
            </w:pPr>
            <w:r/>
            <w:r>
              <w:rPr>
                <w:rFonts w:ascii="Times New Roman" w:hAnsi="Times New Roman"/>
                <w:sz w:val="16"/>
              </w:rPr>
              <w:t>Site-level, time-varying, FP + FN error; ≥ 5,000 replicates with Monte Carlo SEs; a null arm with the true effect fixed at 1.00; state what the design can and cannot exclude</w:t>
            </w:r>
          </w:p>
        </w:tc>
        <w:tc>
          <w:tcPr>
            <w:tcW w:type="dxa" w:w="2948"/>
          </w:tcPr>
          <w:p>
            <w:pPr>
              <w:spacing w:after="0" w:before="0"/>
              <w:jc w:val="left"/>
            </w:pPr>
            <w:r/>
            <w:r>
              <w:rPr>
                <w:rFonts w:ascii="Times New Roman" w:hAnsi="Times New Roman"/>
                <w:sz w:val="16"/>
              </w:rPr>
              <w:t>Null-arm false-positive rate .025 ± .0022; observed estimate reproduced in 2 of 5,000 null replicates; power .337 / .813 / .994 at true IRR 1.25 / 1.5 / 2.0; bears on exposure misclassification only</w:t>
            </w:r>
          </w:p>
        </w:tc>
      </w:tr>
      <w:tr>
        <w:tc>
          <w:tcPr>
            <w:tcW w:type="dxa" w:w="1814"/>
          </w:tcPr>
          <w:p>
            <w:pPr>
              <w:spacing w:after="0" w:before="0"/>
              <w:jc w:val="left"/>
            </w:pPr>
            <w:r/>
            <w:r>
              <w:rPr>
                <w:rFonts w:ascii="Times New Roman" w:hAnsi="Times New Roman"/>
                <w:sz w:val="16"/>
              </w:rPr>
              <w:t>11. Node- and edge-identity audit (N)</w:t>
            </w:r>
          </w:p>
        </w:tc>
        <w:tc>
          <w:tcPr>
            <w:tcW w:type="dxa" w:w="1814"/>
          </w:tcPr>
          <w:p>
            <w:pPr>
              <w:spacing w:after="0" w:before="0"/>
              <w:jc w:val="left"/>
            </w:pPr>
            <w:r/>
            <w:r>
              <w:rPr>
                <w:rFonts w:ascii="Times New Roman" w:hAnsi="Times New Roman"/>
                <w:sz w:val="16"/>
              </w:rPr>
              <w:t>Pseudo-replication of institution identities; affiliation multiplicity</w:t>
            </w:r>
          </w:p>
        </w:tc>
        <w:tc>
          <w:tcPr>
            <w:tcW w:type="dxa" w:w="2948"/>
          </w:tcPr>
          <w:p>
            <w:pPr>
              <w:spacing w:after="0" w:before="0"/>
              <w:jc w:val="left"/>
            </w:pPr>
            <w:r/>
            <w:r>
              <w:rPr>
                <w:rFonts w:ascii="Times New Roman" w:hAnsi="Times New Roman"/>
                <w:sz w:val="16"/>
              </w:rPr>
              <w:t>Report node counts and the naive-to-resolved ratio under both schemes and the standardized effect under both; enumerate residual fragments and re-estimate without them; rebuild requiring two distinct authors per tie</w:t>
            </w:r>
          </w:p>
        </w:tc>
        <w:tc>
          <w:tcPr>
            <w:tcW w:type="dxa" w:w="2948"/>
          </w:tcPr>
          <w:p>
            <w:pPr>
              <w:spacing w:after="0" w:before="0"/>
              <w:jc w:val="left"/>
            </w:pPr>
            <w:r/>
            <w:r>
              <w:rPr>
                <w:rFonts w:ascii="Times New Roman" w:hAnsi="Times New Roman"/>
                <w:sz w:val="16"/>
              </w:rPr>
              <w:t>9.6:1 node ratio (8.8:1 on the tested frame); r = .115 vs .138; p inflated by some twenty orders of magnitude; 18 residual fragments (0.228%, none park-affiliated); two-author rule removes 3.10% of edges, IRR 1.2419 unchanged</w:t>
            </w:r>
          </w:p>
        </w:tc>
      </w:tr>
      <w:tr>
        <w:tc>
          <w:tcPr>
            <w:tcW w:type="dxa" w:w="1814"/>
          </w:tcPr>
          <w:p>
            <w:pPr>
              <w:spacing w:after="0" w:before="0"/>
              <w:jc w:val="left"/>
            </w:pPr>
            <w:r/>
            <w:r>
              <w:rPr>
                <w:rFonts w:ascii="Times New Roman" w:hAnsi="Times New Roman"/>
                <w:sz w:val="16"/>
              </w:rPr>
              <w:t>12. Zero-mass specification (Q)</w:t>
            </w:r>
          </w:p>
        </w:tc>
        <w:tc>
          <w:tcPr>
            <w:tcW w:type="dxa" w:w="1814"/>
          </w:tcPr>
          <w:p>
            <w:pPr>
              <w:spacing w:after="0" w:before="0"/>
              <w:jc w:val="left"/>
            </w:pPr>
            <w:r/>
            <w:r>
              <w:rPr>
                <w:rFonts w:ascii="Times New Roman" w:hAnsi="Times New Roman"/>
                <w:sz w:val="16"/>
              </w:rPr>
              <w:t>Excess or deficit zeros misread as overdispersion</w:t>
            </w:r>
          </w:p>
        </w:tc>
        <w:tc>
          <w:tcPr>
            <w:tcW w:type="dxa" w:w="2948"/>
          </w:tcPr>
          <w:p>
            <w:pPr>
              <w:spacing w:after="0" w:before="0"/>
              <w:jc w:val="left"/>
            </w:pPr>
            <w:r/>
            <w:r>
              <w:rPr>
                <w:rFonts w:ascii="Times New Roman" w:hAnsi="Times New Roman"/>
                <w:sz w:val="16"/>
              </w:rPr>
              <w:t>Report observed against model-predicted zeros before adopting a count specification; compare zero-inflated and hurdle alternatives and re-report the focal coefficient under each</w:t>
            </w:r>
          </w:p>
        </w:tc>
        <w:tc>
          <w:tcPr>
            <w:tcW w:type="dxa" w:w="2948"/>
          </w:tcPr>
          <w:p>
            <w:pPr>
              <w:spacing w:after="0" w:before="0"/>
              <w:jc w:val="left"/>
            </w:pPr>
            <w:r/>
            <w:r>
              <w:rPr>
                <w:rFonts w:ascii="Times New Roman" w:hAnsi="Times New Roman"/>
                <w:sz w:val="16"/>
              </w:rPr>
              <w:t>Zero-deflated (465 observed vs 1,049.2 predicted, z = −19.5); ZINB not identified; hurdle fits better but leaves the count-stage park estimate practically unchanged (1.2542 headline, 1.1114 consortium-excluded)</w:t>
            </w:r>
          </w:p>
        </w:tc>
      </w:tr>
    </w:tbl>
    <w:p/>
    <w:p>
      <w:pPr>
        <w:spacing w:after="120"/>
      </w:pPr>
      <w:r>
        <w:rPr>
          <w:b w:val="0"/>
          <w:i w:val="0"/>
        </w:rPr>
        <w:t>Table S9. The reporting protocol and its outcome in this study. Tags: Q = any quantitative design; N = any constructed-network design; S = spatial designs only.</w:t>
      </w:r>
    </w:p>
    <w:p>
      <w:pPr/>
      <w:r>
        <w:rPr>
          <w:b w:val="0"/>
          <w:i w:val="0"/>
        </w:rPr>
        <w:t>Three checks need elaboration beyond the table. Check 9, the heavy-tail unit-contamination check, rebuilds the entity-resolved network after excluding works above several institution-count caps. It re-estimates the headline regression at each cap and applies a two-criterion rule. The rule asks whether the excluded-sample estimate falls below the lower bound of the full-sample confidence interval, and whether the permutation p meets the standard. Before a non-significant permutation p is read as contamination, the rule requires the prior power of that test at the residual effect size. Where power is below .50, the verdict is recorded as "residual unresolved at this design's power; contamination neither excluded nor concluded". I state the caps rather than derive them. A principled alternative is to set the cap by an outlier-detection rule of the kind Sánchez-Jiménez et al. (2026) propose for hyperauthorship, and I designed the four-cap sweep so that the verdict does not depend on that choice. I repeat the check under fractional counting, which separates a composite-degree artefact from an exclusion artefact without discarding any work. Check 10 is a misclassification simulation at the headline specification, and it applies three error mechanisms jointly. Registry-status error is park-level and time-varying, calibrated on the triangulation. Boundary error comes from a confusion matrix estimated internally on the nine parks with exact geometry. False negatives are sampled differentially by local research-institute density. The simulation runs 5,000 replicates per cell, with a null arm in which the true effect is fixed at IRR 1.00. The design's false-positive rate under a true null is therefore measured rather than assumed. Check 11 audits residual node-identity fragmentation on the edge-generating network itself. It enumerates every fragment produced by the comma-splitting of standardized display names and re-estimates with all fragments removed. It then repeats the audit at the edge level, rebuilding the network so that an institution pair generates a tie only where two distinct authors support it.</w:t>
      </w:r>
    </w:p>
    <w:p>
      <w:pPr>
        <w:pStyle w:val="2"/>
      </w:pPr>
      <w:r>
        <w:rPr>
          <w:b w:val="0"/>
          <w:i w:val="0"/>
        </w:rPr>
        <w:t>S17 The test-bed hypotheses, baseline regression, and threshold sweep</w:t>
      </w:r>
    </w:p>
    <w:p>
      <w:pPr/>
      <w:r>
        <w:rPr>
          <w:b w:val="0"/>
          <w:i w:val="0"/>
        </w:rPr>
        <w:t>Physical proximity has been treated as a determinant of collaboration for three decades. Katz (1994) showed that co-publication decays sharply with distance. Boschma (2005) distinguished geographical proximity from cognitive, organizational, social, and institutional forms, and argued that it is neither necessary nor sufficient for interactive learning. Ponds et al. (2007) showed geographical and institutional proximity to be partial substitutes. Frenken et al. (2009) organized the field into the research programme of spatial scientometrics. Institution-level studies within that programme have since reproduced a (sometimes weak) distance-decay pattern (Luo et al., 2018; He et al., 2021). They have also shown that geographical closeness does not substitute for institutional proximity (Abramo et al., 2022). At the researcher level, social and cognitive proximity predict collaboration more strongly than geographical proximity (Koopmann et al., 2021). Within that programme, spatial resolution and sample scope have moved in opposite directions. Population-scale studies have measured proximity at the city, region, or country level (Hoekman et al., 2009; Maisonobe et al., 2016). Most recently that has been done from OpenAlex affiliation coordinates across tens of millions of works (Yang et al., 2026). Studies that resolve proximity finely have done so within one district, building, or campus (Arzaghi &amp; Henderson, 2008; Kabo et al., 2014; Catalini, 2018). That holds in urban economics as much as in science studies. Others track face-to-face interaction directly at a single conference (Yabe et al., 2026). Fine-grained proximity has therefore not been examined across a globally distributed, registry-verified class of sites. It is at that intersection that the measurement problems of S16 and the main text become visible.</w:t>
      </w:r>
    </w:p>
    <w:p>
      <w:pPr/>
      <w:r>
        <w:rPr>
          <w:b w:val="0"/>
          <w:i w:val="0"/>
        </w:rPr>
        <w:t>Science and technology parks are a clean setting for the extension. They are bounded, registry-listed co-location environments, justified in policy terms by the claim that geographical proximity stimulates knowledge exchange (Vedovello, 1997). Knowledge spillovers are known to be geographically bounded in this literature (Jaffe et al., 1993; Audretsch &amp; Feldman, 1996). Second-generation parks have been theorized as catalysts of the social capital that enables entrepreneurship in networks, rather than as property developments (Hansson et al., 2005). The empirical record is less settled than the policy consensus. Reviews of 175 and 221 studies (Lecluyse et al., 2019; Albahari et al., 2023) report inconclusive and conflicting effect estimates. The former attributes part of this to case-based and matched-sample designs that cannot separate selection from treatment effects. The latter shows that studies with few on-park units are less likely to detect an effect. Two further concerns are addressed directly in the present design: how park membership is measured, and whether local infrastructure density confounds the comparison. University administrators report that involvement with a science park raises research output and extramural funding, and that curricula shift toward applied research as the park sits closer to the campus (Link &amp; Scott, 2003). Modest on-park productivity advantages have been reported for firms (Siegel et al., 2003). Scientometric studies of parks, however, have remained oriented to publication output and firm–university collaboration counts (Hung, 2012; Minguillo et al., 2015) rather than to academic network position. No prior study is known to have tested park designation against co-authorship degree centrality net of a direct infrastructure-density control. Two hypotheses follow.</w:t>
      </w:r>
    </w:p>
    <w:p>
      <w:pPr>
        <w:ind w:left="567"/>
      </w:pPr>
      <w:r>
        <w:rPr>
          <w:b w:val="0"/>
          <w:i w:val="0"/>
        </w:rPr>
        <w:t>H1: Institutions located within a formally designated science or technology park exhibit higher degree centrality in the academic co-affiliation network than comparable institutions located outside such parks.</w:t>
      </w:r>
    </w:p>
    <w:p>
      <w:pPr>
        <w:ind w:left="567"/>
      </w:pPr>
      <w:r>
        <w:rPr>
          <w:b w:val="0"/>
          <w:i w:val="0"/>
        </w:rPr>
        <w:t>H2: Any observed association between park proximity and degree centrality will not survive controlling for local infrastructure density. Parks are sited where universities, research institutes, and transport infrastructure already concentrate. The geographic-proximity effect on collaboration is itself moderated by the density of the surrounding territorial research infrastructure (Abramo et al., 2024). The association therefore reflects non-random siting rather than an independent effect of designation.</w:t>
      </w:r>
    </w:p>
    <w:p>
      <w:pPr/>
      <w:r>
        <w:rPr>
          <w:b w:val="0"/>
          <w:i w:val="0"/>
        </w:rPr>
        <w:t>H1 is a directional test of whether the mechanism leaves any detectable footprint at this grain. It is not a prediction the prior literature already supports: the canonical distance-decay estimates are made over city-to-country distances, so a sub-kilometre boundary adds only a marginal increment. Because H2 predicts a null, a non-significant coefficient alone cannot support it, and I adjudicate it with equivalence tests. Both hypotheses take the node set, the edge set, and the units of observation as given. They disagree only about what a park coefficient estimated over them would mean. The artefacts of S16 and the main text sit beneath both: they concern whether the units are legitimate units at all, and they are invisible to any test that conditions on those units. This class of failure is not derived from H1 or H2, and it yields no directional prediction. The protocol addresses it, and I report the protocol's yield alongside the hypothesis tests as an answer to a different question. The protocol's yield is not evidence for H2, and H2's fate does not bear on the protocol's yield.</w:t>
      </w:r>
    </w:p>
    <w:p>
      <w:pPr/>
      <w:r>
        <w:rPr>
          <w:b/>
        </w:rPr>
        <w:t xml:space="preserve">Baseline regression. </w:t>
      </w:r>
      <w:r>
        <w:t>Table S10 reports the primary specification: degree regressed on park proximity at 2,000 m and the three density covariates (N = 7,886; 187 treated). The same 187 are used in Table 1 of the main text. The 166-institution node-level flag written at network assembly is reported in S12 as a sensitivity check; the majority-vote rule returns 187 or 188 institutions, the assembly flag 166, overlapping the former on 163. That is itself protocol-relevant: record-to-entity aggregation is a choice layer capable of moving the treated group, and no check in Table S9 covers it. The negative binomial is clearly preferred over Poisson (AIC 53,475 against 169,907; α = 1.270). Local research-institute density and transport access are strongly associated with degree (all p &lt; .001). Park proximity is not significant (IRR 1.151 [0.970, 1.366], p = .108), though the interval admits an increase of up to 37%. The TOST against IRR 0.80–1.25 does not confirm equivalence (p = .172). Narrower bounds fail more decisively (0.85–1.18, p = .387; 0.90–1.11, p = .660), and only a substantially wider bound confirms equivalence, marginally (0.75–1.33, p = .049). At the specification H1 and H2 were written for, H1 is not supported and H2 is supported only in the weak sense that the coefficient is non-significant.</w:t>
      </w:r>
    </w:p>
    <w:tbl>
      <w:tblPr>
        <w:tblW w:type="auto" w:w="0"/>
        <w:tblLayout w:type="autofit"/>
        <w:tblLook w:firstColumn="1" w:firstRow="1" w:lastColumn="0" w:lastRow="0" w:noHBand="0" w:noVBand="1" w:val="04A0"/>
        <w:tblBorders>
          <w:top w:val="single" w:sz="4" w:space="0" w:color="000000"/>
          <w:bottom w:val="single" w:sz="4" w:space="0" w:color="000000"/>
          <w:insideH w:val="single" w:sz="4" w:space="0" w:color="000000"/>
          <w:left w:val="nil"/>
          <w:right w:val="nil"/>
          <w:insideV w:val="nil"/>
        </w:tblBorders>
      </w:tblPr>
      <w:tblGrid>
        <w:gridCol w:w="2256"/>
        <w:gridCol w:w="2256"/>
        <w:gridCol w:w="2256"/>
        <w:gridCol w:w="2256"/>
      </w:tblGrid>
      <w:tr>
        <w:tc>
          <w:tcPr>
            <w:tcW w:type="dxa" w:w="2256"/>
          </w:tcPr>
          <w:p>
            <w:pPr>
              <w:spacing w:after="0" w:before="0"/>
              <w:jc w:val="left"/>
            </w:pPr>
            <w:r/>
            <w:r>
              <w:rPr>
                <w:rFonts w:ascii="Times New Roman" w:hAnsi="Times New Roman"/>
                <w:b/>
                <w:sz w:val="18"/>
              </w:rPr>
              <w:t>Predictor</w:t>
            </w:r>
          </w:p>
        </w:tc>
        <w:tc>
          <w:tcPr>
            <w:tcW w:type="dxa" w:w="2256"/>
          </w:tcPr>
          <w:p>
            <w:pPr>
              <w:spacing w:after="0" w:before="0"/>
              <w:jc w:val="left"/>
            </w:pPr>
            <w:r/>
            <w:r>
              <w:rPr>
                <w:rFonts w:ascii="Times New Roman" w:hAnsi="Times New Roman"/>
                <w:b/>
                <w:sz w:val="18"/>
              </w:rPr>
              <w:t>Coefficient</w:t>
            </w:r>
          </w:p>
        </w:tc>
        <w:tc>
          <w:tcPr>
            <w:tcW w:type="dxa" w:w="2256"/>
          </w:tcPr>
          <w:p>
            <w:pPr>
              <w:spacing w:after="0" w:before="0"/>
              <w:jc w:val="left"/>
            </w:pPr>
            <w:r/>
            <w:r>
              <w:rPr>
                <w:rFonts w:ascii="Times New Roman" w:hAnsi="Times New Roman"/>
                <w:b/>
                <w:sz w:val="18"/>
              </w:rPr>
              <w:t>p</w:t>
            </w:r>
          </w:p>
        </w:tc>
        <w:tc>
          <w:tcPr>
            <w:tcW w:type="dxa" w:w="2256"/>
          </w:tcPr>
          <w:p>
            <w:pPr>
              <w:spacing w:after="0" w:before="0"/>
              <w:jc w:val="left"/>
            </w:pPr>
            <w:r/>
            <w:r>
              <w:rPr>
                <w:rFonts w:ascii="Times New Roman" w:hAnsi="Times New Roman"/>
                <w:b/>
                <w:sz w:val="18"/>
              </w:rPr>
              <w:t>IRR [95% CI]</w:t>
            </w:r>
          </w:p>
        </w:tc>
      </w:tr>
      <w:tr>
        <w:tc>
          <w:tcPr>
            <w:tcW w:type="dxa" w:w="2256"/>
          </w:tcPr>
          <w:p>
            <w:pPr>
              <w:spacing w:after="0" w:before="0"/>
              <w:jc w:val="left"/>
            </w:pPr>
            <w:r/>
            <w:r>
              <w:rPr>
                <w:rFonts w:ascii="Times New Roman" w:hAnsi="Times New Roman"/>
                <w:sz w:val="18"/>
              </w:rPr>
              <w:t>Park proximity (binary, 2,000 m)</w:t>
            </w:r>
          </w:p>
        </w:tc>
        <w:tc>
          <w:tcPr>
            <w:tcW w:type="dxa" w:w="2256"/>
          </w:tcPr>
          <w:p>
            <w:pPr>
              <w:spacing w:after="0" w:before="0"/>
              <w:jc w:val="left"/>
            </w:pPr>
            <w:r/>
            <w:r>
              <w:rPr>
                <w:rFonts w:ascii="Times New Roman" w:hAnsi="Times New Roman"/>
                <w:sz w:val="18"/>
              </w:rPr>
              <w:t>0.141</w:t>
            </w:r>
          </w:p>
        </w:tc>
        <w:tc>
          <w:tcPr>
            <w:tcW w:type="dxa" w:w="2256"/>
          </w:tcPr>
          <w:p>
            <w:pPr>
              <w:spacing w:after="0" w:before="0"/>
              <w:jc w:val="left"/>
            </w:pPr>
            <w:r/>
            <w:r>
              <w:rPr>
                <w:rFonts w:ascii="Times New Roman" w:hAnsi="Times New Roman"/>
                <w:sz w:val="18"/>
              </w:rPr>
              <w:t>.108</w:t>
            </w:r>
          </w:p>
        </w:tc>
        <w:tc>
          <w:tcPr>
            <w:tcW w:type="dxa" w:w="2256"/>
          </w:tcPr>
          <w:p>
            <w:pPr>
              <w:spacing w:after="0" w:before="0"/>
              <w:jc w:val="left"/>
            </w:pPr>
            <w:r/>
            <w:r>
              <w:rPr>
                <w:rFonts w:ascii="Times New Roman" w:hAnsi="Times New Roman"/>
                <w:sz w:val="18"/>
              </w:rPr>
              <w:t>1.151 [0.970, 1.366]</w:t>
            </w:r>
          </w:p>
        </w:tc>
      </w:tr>
      <w:tr>
        <w:tc>
          <w:tcPr>
            <w:tcW w:type="dxa" w:w="2256"/>
          </w:tcPr>
          <w:p>
            <w:pPr>
              <w:spacing w:after="0" w:before="0"/>
              <w:jc w:val="left"/>
            </w:pPr>
            <w:r/>
            <w:r>
              <w:rPr>
                <w:rFonts w:ascii="Times New Roman" w:hAnsi="Times New Roman"/>
                <w:sz w:val="18"/>
              </w:rPr>
              <w:t>Local university/institute density (log)</w:t>
            </w:r>
          </w:p>
        </w:tc>
        <w:tc>
          <w:tcPr>
            <w:tcW w:type="dxa" w:w="2256"/>
          </w:tcPr>
          <w:p>
            <w:pPr>
              <w:spacing w:after="0" w:before="0"/>
              <w:jc w:val="left"/>
            </w:pPr>
            <w:r/>
            <w:r>
              <w:rPr>
                <w:rFonts w:ascii="Times New Roman" w:hAnsi="Times New Roman"/>
                <w:sz w:val="18"/>
              </w:rPr>
              <w:t>0.249</w:t>
            </w:r>
          </w:p>
        </w:tc>
        <w:tc>
          <w:tcPr>
            <w:tcW w:type="dxa" w:w="2256"/>
          </w:tcPr>
          <w:p>
            <w:pPr>
              <w:spacing w:after="0" w:before="0"/>
              <w:jc w:val="left"/>
            </w:pPr>
            <w:r/>
            <w:r>
              <w:rPr>
                <w:rFonts w:ascii="Times New Roman" w:hAnsi="Times New Roman"/>
                <w:sz w:val="18"/>
              </w:rPr>
              <w:t>&lt; .001</w:t>
            </w:r>
          </w:p>
        </w:tc>
        <w:tc>
          <w:tcPr>
            <w:tcW w:type="dxa" w:w="2256"/>
          </w:tcPr>
          <w:p>
            <w:pPr>
              <w:spacing w:after="0" w:before="0"/>
              <w:jc w:val="left"/>
            </w:pPr>
            <w:r/>
            <w:r>
              <w:rPr>
                <w:rFonts w:ascii="Times New Roman" w:hAnsi="Times New Roman"/>
                <w:sz w:val="18"/>
              </w:rPr>
              <w:t>1.28 [1.25, 1.32]</w:t>
            </w:r>
          </w:p>
        </w:tc>
      </w:tr>
      <w:tr>
        <w:tc>
          <w:tcPr>
            <w:tcW w:type="dxa" w:w="2256"/>
          </w:tcPr>
          <w:p>
            <w:pPr>
              <w:spacing w:after="0" w:before="0"/>
              <w:jc w:val="left"/>
            </w:pPr>
            <w:r/>
            <w:r>
              <w:rPr>
                <w:rFonts w:ascii="Times New Roman" w:hAnsi="Times New Roman"/>
                <w:sz w:val="18"/>
              </w:rPr>
              <w:t>Distance to rail station (log)</w:t>
            </w:r>
          </w:p>
        </w:tc>
        <w:tc>
          <w:tcPr>
            <w:tcW w:type="dxa" w:w="2256"/>
          </w:tcPr>
          <w:p>
            <w:pPr>
              <w:spacing w:after="0" w:before="0"/>
              <w:jc w:val="left"/>
            </w:pPr>
            <w:r/>
            <w:r>
              <w:rPr>
                <w:rFonts w:ascii="Times New Roman" w:hAnsi="Times New Roman"/>
                <w:sz w:val="18"/>
              </w:rPr>
              <w:t>−0.072</w:t>
            </w:r>
          </w:p>
        </w:tc>
        <w:tc>
          <w:tcPr>
            <w:tcW w:type="dxa" w:w="2256"/>
          </w:tcPr>
          <w:p>
            <w:pPr>
              <w:spacing w:after="0" w:before="0"/>
              <w:jc w:val="left"/>
            </w:pPr>
            <w:r/>
            <w:r>
              <w:rPr>
                <w:rFonts w:ascii="Times New Roman" w:hAnsi="Times New Roman"/>
                <w:sz w:val="18"/>
              </w:rPr>
              <w:t>&lt; .001</w:t>
            </w:r>
          </w:p>
        </w:tc>
        <w:tc>
          <w:tcPr>
            <w:tcW w:type="dxa" w:w="2256"/>
          </w:tcPr>
          <w:p>
            <w:pPr>
              <w:spacing w:after="0" w:before="0"/>
              <w:jc w:val="left"/>
            </w:pPr>
            <w:r/>
            <w:r>
              <w:rPr>
                <w:rFonts w:ascii="Times New Roman" w:hAnsi="Times New Roman"/>
                <w:sz w:val="18"/>
              </w:rPr>
              <w:t>0.93 [0.91, 0.95]</w:t>
            </w:r>
          </w:p>
        </w:tc>
      </w:tr>
      <w:tr>
        <w:tc>
          <w:tcPr>
            <w:tcW w:type="dxa" w:w="2256"/>
          </w:tcPr>
          <w:p>
            <w:pPr>
              <w:spacing w:after="0" w:before="0"/>
              <w:jc w:val="left"/>
            </w:pPr>
            <w:r/>
            <w:r>
              <w:rPr>
                <w:rFonts w:ascii="Times New Roman" w:hAnsi="Times New Roman"/>
                <w:sz w:val="18"/>
              </w:rPr>
              <w:t>Distance to motorway junction (log)</w:t>
            </w:r>
          </w:p>
        </w:tc>
        <w:tc>
          <w:tcPr>
            <w:tcW w:type="dxa" w:w="2256"/>
          </w:tcPr>
          <w:p>
            <w:pPr>
              <w:spacing w:after="0" w:before="0"/>
              <w:jc w:val="left"/>
            </w:pPr>
            <w:r/>
            <w:r>
              <w:rPr>
                <w:rFonts w:ascii="Times New Roman" w:hAnsi="Times New Roman"/>
                <w:sz w:val="18"/>
              </w:rPr>
              <w:t>−0.421</w:t>
            </w:r>
          </w:p>
        </w:tc>
        <w:tc>
          <w:tcPr>
            <w:tcW w:type="dxa" w:w="2256"/>
          </w:tcPr>
          <w:p>
            <w:pPr>
              <w:spacing w:after="0" w:before="0"/>
              <w:jc w:val="left"/>
            </w:pPr>
            <w:r/>
            <w:r>
              <w:rPr>
                <w:rFonts w:ascii="Times New Roman" w:hAnsi="Times New Roman"/>
                <w:sz w:val="18"/>
              </w:rPr>
              <w:t>&lt; .001</w:t>
            </w:r>
          </w:p>
        </w:tc>
        <w:tc>
          <w:tcPr>
            <w:tcW w:type="dxa" w:w="2256"/>
          </w:tcPr>
          <w:p>
            <w:pPr>
              <w:spacing w:after="0" w:before="0"/>
              <w:jc w:val="left"/>
            </w:pPr>
            <w:r/>
            <w:r>
              <w:rPr>
                <w:rFonts w:ascii="Times New Roman" w:hAnsi="Times New Roman"/>
                <w:sz w:val="18"/>
              </w:rPr>
              <w:t>0.66 [0.63, 0.68]</w:t>
            </w:r>
          </w:p>
        </w:tc>
      </w:tr>
    </w:tbl>
    <w:p/>
    <w:p>
      <w:pPr>
        <w:spacing w:after="120"/>
      </w:pPr>
      <w:r>
        <w:rPr>
          <w:b w:val="0"/>
          <w:i w:val="0"/>
        </w:rPr>
        <w:t>Table S10. Negative binomial GLM of degree centrality at the 2,000 m threshold (N = 7,886). The link is log. Dispersion α = 1.270 is estimated by maximum likelihood. Density covariates are log1p-transformed and drawn from the July 2026 OpenStreetMap retrieval. The August re-collection, the vintage of record for the headline, gives 1.1514, p = .107 (S12).</w:t>
      </w:r>
    </w:p>
    <w:p>
      <w:pPr/>
      <w:r>
        <w:rPr>
          <w:b/>
        </w:rPr>
        <w:t xml:space="preserve">Threshold sweep. </w:t>
      </w:r>
      <w:r>
        <w:t>Check 2 is reported in Table S11, using the July-vintage 2,000 m covariate. The August-vintage re-estimate of the 2,000 m row, used for the decomposition rows of Table S1, is 1.1514, p = .107. Above 500 m the density-controlled park IRR is flat (1.174, 1.151, 1.165, and 1.235 at 1,000, 2,000, 3,000, and 5,000 m), and each estimate lies inside the 95% interval of every other. What changes are the treated counts (80, 187, 300, 504) and with them the p-values (.224, .108, .028, .00012). At 500 m the estimate is 0.81 [0.54, 1.21] across 34 treated institutions. Decoupling the covariate radius changes almost nothing: at a 5,000 m treatment radius the coefficient is 1.235 with either density control and 1.227 (p = .00019) with both entered together. The 5,000 m coefficient survives a full-model label permutation (5,000 refits, p = .0088) and Holm–Bonferroni correction of the model-based p within the five-threshold family. The permutation p of .0088 also clears the rank-1 Holm threshold of .01. The model-based p (.00012) and the permutation p (.0088) differ by two orders of magnitude, a gap the sandwich and bootstrap standard errors of S22 reproduce. The permutation value is therefore the figure of record. Equivalence is uninformative across the family: no threshold's TOST reaches significance.</w:t>
      </w:r>
    </w:p>
    <w:tbl>
      <w:tblPr>
        <w:tblW w:type="auto" w:w="0"/>
        <w:tblLayout w:type="autofit"/>
        <w:tblLook w:firstColumn="1" w:firstRow="1" w:lastColumn="0" w:lastRow="0" w:noHBand="0" w:noVBand="1" w:val="04A0"/>
        <w:tblBorders>
          <w:top w:val="single" w:sz="4" w:space="0" w:color="000000"/>
          <w:bottom w:val="single" w:sz="4" w:space="0" w:color="000000"/>
          <w:insideH w:val="single" w:sz="4" w:space="0" w:color="000000"/>
          <w:left w:val="nil"/>
          <w:right w:val="nil"/>
          <w:insideV w:val="nil"/>
        </w:tblBorders>
      </w:tblPr>
      <w:tblGrid>
        <w:gridCol w:w="1504"/>
        <w:gridCol w:w="1504"/>
        <w:gridCol w:w="1504"/>
        <w:gridCol w:w="1504"/>
        <w:gridCol w:w="1504"/>
        <w:gridCol w:w="1504"/>
      </w:tblGrid>
      <w:tr>
        <w:tc>
          <w:tcPr>
            <w:tcW w:type="dxa" w:w="1504"/>
          </w:tcPr>
          <w:p>
            <w:pPr>
              <w:spacing w:after="0" w:before="0"/>
              <w:jc w:val="left"/>
            </w:pPr>
            <w:r/>
            <w:r>
              <w:rPr>
                <w:rFonts w:ascii="Times New Roman" w:hAnsi="Times New Roman"/>
                <w:b/>
                <w:sz w:val="18"/>
              </w:rPr>
              <w:t>Threshold</w:t>
            </w:r>
          </w:p>
        </w:tc>
        <w:tc>
          <w:tcPr>
            <w:tcW w:type="dxa" w:w="1504"/>
          </w:tcPr>
          <w:p>
            <w:pPr>
              <w:spacing w:after="0" w:before="0"/>
              <w:jc w:val="left"/>
            </w:pPr>
            <w:r/>
            <w:r>
              <w:rPr>
                <w:rFonts w:ascii="Times New Roman" w:hAnsi="Times New Roman"/>
                <w:b/>
                <w:sz w:val="18"/>
              </w:rPr>
              <w:t>n park</w:t>
            </w:r>
          </w:p>
        </w:tc>
        <w:tc>
          <w:tcPr>
            <w:tcW w:type="dxa" w:w="1504"/>
          </w:tcPr>
          <w:p>
            <w:pPr>
              <w:spacing w:after="0" w:before="0"/>
              <w:jc w:val="left"/>
            </w:pPr>
            <w:r/>
            <w:r>
              <w:rPr>
                <w:rFonts w:ascii="Times New Roman" w:hAnsi="Times New Roman"/>
                <w:b/>
                <w:sz w:val="18"/>
              </w:rPr>
              <w:t>MW p</w:t>
            </w:r>
          </w:p>
        </w:tc>
        <w:tc>
          <w:tcPr>
            <w:tcW w:type="dxa" w:w="1504"/>
          </w:tcPr>
          <w:p>
            <w:pPr>
              <w:spacing w:after="0" w:before="0"/>
              <w:jc w:val="left"/>
            </w:pPr>
            <w:r/>
            <w:r>
              <w:rPr>
                <w:rFonts w:ascii="Times New Roman" w:hAnsi="Times New Roman"/>
                <w:b/>
                <w:sz w:val="18"/>
              </w:rPr>
              <w:t>Regression IRR [95% CI]</w:t>
            </w:r>
          </w:p>
        </w:tc>
        <w:tc>
          <w:tcPr>
            <w:tcW w:type="dxa" w:w="1504"/>
          </w:tcPr>
          <w:p>
            <w:pPr>
              <w:spacing w:after="0" w:before="0"/>
              <w:jc w:val="left"/>
            </w:pPr>
            <w:r/>
            <w:r>
              <w:rPr>
                <w:rFonts w:ascii="Times New Roman" w:hAnsi="Times New Roman"/>
                <w:b/>
                <w:sz w:val="18"/>
              </w:rPr>
              <w:t>Regression p</w:t>
            </w:r>
          </w:p>
        </w:tc>
        <w:tc>
          <w:tcPr>
            <w:tcW w:type="dxa" w:w="1504"/>
          </w:tcPr>
          <w:p>
            <w:pPr>
              <w:spacing w:after="0" w:before="0"/>
              <w:jc w:val="left"/>
            </w:pPr>
            <w:r/>
            <w:r>
              <w:rPr>
                <w:rFonts w:ascii="Times New Roman" w:hAnsi="Times New Roman"/>
                <w:b/>
                <w:sz w:val="18"/>
              </w:rPr>
              <w:t>TOST p</w:t>
            </w:r>
          </w:p>
        </w:tc>
      </w:tr>
      <w:tr>
        <w:tc>
          <w:tcPr>
            <w:tcW w:type="dxa" w:w="1504"/>
          </w:tcPr>
          <w:p>
            <w:pPr>
              <w:spacing w:after="0" w:before="0"/>
              <w:jc w:val="left"/>
            </w:pPr>
            <w:r/>
            <w:r>
              <w:rPr>
                <w:rFonts w:ascii="Times New Roman" w:hAnsi="Times New Roman"/>
                <w:sz w:val="18"/>
              </w:rPr>
              <w:t>500 m</w:t>
            </w:r>
          </w:p>
        </w:tc>
        <w:tc>
          <w:tcPr>
            <w:tcW w:type="dxa" w:w="1504"/>
          </w:tcPr>
          <w:p>
            <w:pPr>
              <w:spacing w:after="0" w:before="0"/>
              <w:jc w:val="left"/>
            </w:pPr>
            <w:r/>
            <w:r>
              <w:rPr>
                <w:rFonts w:ascii="Times New Roman" w:hAnsi="Times New Roman"/>
                <w:sz w:val="18"/>
              </w:rPr>
              <w:t>34</w:t>
            </w:r>
          </w:p>
        </w:tc>
        <w:tc>
          <w:tcPr>
            <w:tcW w:type="dxa" w:w="1504"/>
          </w:tcPr>
          <w:p>
            <w:pPr>
              <w:spacing w:after="0" w:before="0"/>
              <w:jc w:val="left"/>
            </w:pPr>
            <w:r/>
            <w:r>
              <w:rPr>
                <w:rFonts w:ascii="Times New Roman" w:hAnsi="Times New Roman"/>
                <w:sz w:val="18"/>
              </w:rPr>
              <w:t>.238</w:t>
            </w:r>
          </w:p>
        </w:tc>
        <w:tc>
          <w:tcPr>
            <w:tcW w:type="dxa" w:w="1504"/>
          </w:tcPr>
          <w:p>
            <w:pPr>
              <w:spacing w:after="0" w:before="0"/>
              <w:jc w:val="left"/>
            </w:pPr>
            <w:r/>
            <w:r>
              <w:rPr>
                <w:rFonts w:ascii="Times New Roman" w:hAnsi="Times New Roman"/>
                <w:sz w:val="18"/>
              </w:rPr>
              <w:t>0.808 [0.542, 1.205]</w:t>
            </w:r>
          </w:p>
        </w:tc>
        <w:tc>
          <w:tcPr>
            <w:tcW w:type="dxa" w:w="1504"/>
          </w:tcPr>
          <w:p>
            <w:pPr>
              <w:spacing w:after="0" w:before="0"/>
              <w:jc w:val="left"/>
            </w:pPr>
            <w:r/>
            <w:r>
              <w:rPr>
                <w:rFonts w:ascii="Times New Roman" w:hAnsi="Times New Roman"/>
                <w:sz w:val="18"/>
              </w:rPr>
              <w:t>.296</w:t>
            </w:r>
          </w:p>
        </w:tc>
        <w:tc>
          <w:tcPr>
            <w:tcW w:type="dxa" w:w="1504"/>
          </w:tcPr>
          <w:p>
            <w:pPr>
              <w:spacing w:after="0" w:before="0"/>
              <w:jc w:val="left"/>
            </w:pPr>
            <w:r/>
            <w:r>
              <w:rPr>
                <w:rFonts w:ascii="Times New Roman" w:hAnsi="Times New Roman"/>
                <w:sz w:val="18"/>
              </w:rPr>
              <w:t>.481</w:t>
            </w:r>
          </w:p>
        </w:tc>
      </w:tr>
      <w:tr>
        <w:tc>
          <w:tcPr>
            <w:tcW w:type="dxa" w:w="1504"/>
          </w:tcPr>
          <w:p>
            <w:pPr>
              <w:spacing w:after="0" w:before="0"/>
              <w:jc w:val="left"/>
            </w:pPr>
            <w:r/>
            <w:r>
              <w:rPr>
                <w:rFonts w:ascii="Times New Roman" w:hAnsi="Times New Roman"/>
                <w:sz w:val="18"/>
              </w:rPr>
              <w:t>1,000 m</w:t>
            </w:r>
          </w:p>
        </w:tc>
        <w:tc>
          <w:tcPr>
            <w:tcW w:type="dxa" w:w="1504"/>
          </w:tcPr>
          <w:p>
            <w:pPr>
              <w:spacing w:after="0" w:before="0"/>
              <w:jc w:val="left"/>
            </w:pPr>
            <w:r/>
            <w:r>
              <w:rPr>
                <w:rFonts w:ascii="Times New Roman" w:hAnsi="Times New Roman"/>
                <w:sz w:val="18"/>
              </w:rPr>
              <w:t>80</w:t>
            </w:r>
          </w:p>
        </w:tc>
        <w:tc>
          <w:tcPr>
            <w:tcW w:type="dxa" w:w="1504"/>
          </w:tcPr>
          <w:p>
            <w:pPr>
              <w:spacing w:after="0" w:before="0"/>
              <w:jc w:val="left"/>
            </w:pPr>
            <w:r/>
            <w:r>
              <w:rPr>
                <w:rFonts w:ascii="Times New Roman" w:hAnsi="Times New Roman"/>
                <w:sz w:val="18"/>
              </w:rPr>
              <w:t>.0126</w:t>
            </w:r>
          </w:p>
        </w:tc>
        <w:tc>
          <w:tcPr>
            <w:tcW w:type="dxa" w:w="1504"/>
          </w:tcPr>
          <w:p>
            <w:pPr>
              <w:spacing w:after="0" w:before="0"/>
              <w:jc w:val="left"/>
            </w:pPr>
            <w:r/>
            <w:r>
              <w:rPr>
                <w:rFonts w:ascii="Times New Roman" w:hAnsi="Times New Roman"/>
                <w:sz w:val="18"/>
              </w:rPr>
              <w:t>1.174 [0.906, 1.522]</w:t>
            </w:r>
          </w:p>
        </w:tc>
        <w:tc>
          <w:tcPr>
            <w:tcW w:type="dxa" w:w="1504"/>
          </w:tcPr>
          <w:p>
            <w:pPr>
              <w:spacing w:after="0" w:before="0"/>
              <w:jc w:val="left"/>
            </w:pPr>
            <w:r/>
            <w:r>
              <w:rPr>
                <w:rFonts w:ascii="Times New Roman" w:hAnsi="Times New Roman"/>
                <w:sz w:val="18"/>
              </w:rPr>
              <w:t>.224</w:t>
            </w:r>
          </w:p>
        </w:tc>
        <w:tc>
          <w:tcPr>
            <w:tcW w:type="dxa" w:w="1504"/>
          </w:tcPr>
          <w:p>
            <w:pPr>
              <w:spacing w:after="0" w:before="0"/>
              <w:jc w:val="left"/>
            </w:pPr>
            <w:r/>
            <w:r>
              <w:rPr>
                <w:rFonts w:ascii="Times New Roman" w:hAnsi="Times New Roman"/>
                <w:sz w:val="18"/>
              </w:rPr>
              <w:t>.319</w:t>
            </w:r>
          </w:p>
        </w:tc>
      </w:tr>
      <w:tr>
        <w:tc>
          <w:tcPr>
            <w:tcW w:type="dxa" w:w="1504"/>
          </w:tcPr>
          <w:p>
            <w:pPr>
              <w:spacing w:after="0" w:before="0"/>
              <w:jc w:val="left"/>
            </w:pPr>
            <w:r/>
            <w:r>
              <w:rPr>
                <w:rFonts w:ascii="Times New Roman" w:hAnsi="Times New Roman"/>
                <w:sz w:val="18"/>
              </w:rPr>
              <w:t>2,000 m</w:t>
            </w:r>
          </w:p>
        </w:tc>
        <w:tc>
          <w:tcPr>
            <w:tcW w:type="dxa" w:w="1504"/>
          </w:tcPr>
          <w:p>
            <w:pPr>
              <w:spacing w:after="0" w:before="0"/>
              <w:jc w:val="left"/>
            </w:pPr>
            <w:r/>
            <w:r>
              <w:rPr>
                <w:rFonts w:ascii="Times New Roman" w:hAnsi="Times New Roman"/>
                <w:sz w:val="18"/>
              </w:rPr>
              <w:t>187</w:t>
            </w:r>
          </w:p>
        </w:tc>
        <w:tc>
          <w:tcPr>
            <w:tcW w:type="dxa" w:w="1504"/>
          </w:tcPr>
          <w:p>
            <w:pPr>
              <w:spacing w:after="0" w:before="0"/>
              <w:jc w:val="left"/>
            </w:pPr>
            <w:r/>
            <w:r>
              <w:rPr>
                <w:rFonts w:ascii="Times New Roman" w:hAnsi="Times New Roman"/>
                <w:sz w:val="18"/>
              </w:rPr>
              <w:t>.0012</w:t>
            </w:r>
          </w:p>
        </w:tc>
        <w:tc>
          <w:tcPr>
            <w:tcW w:type="dxa" w:w="1504"/>
          </w:tcPr>
          <w:p>
            <w:pPr>
              <w:spacing w:after="0" w:before="0"/>
              <w:jc w:val="left"/>
            </w:pPr>
            <w:r/>
            <w:r>
              <w:rPr>
                <w:rFonts w:ascii="Times New Roman" w:hAnsi="Times New Roman"/>
                <w:sz w:val="18"/>
              </w:rPr>
              <w:t>1.151 [0.970, 1.366]</w:t>
            </w:r>
          </w:p>
        </w:tc>
        <w:tc>
          <w:tcPr>
            <w:tcW w:type="dxa" w:w="1504"/>
          </w:tcPr>
          <w:p>
            <w:pPr>
              <w:spacing w:after="0" w:before="0"/>
              <w:jc w:val="left"/>
            </w:pPr>
            <w:r/>
            <w:r>
              <w:rPr>
                <w:rFonts w:ascii="Times New Roman" w:hAnsi="Times New Roman"/>
                <w:sz w:val="18"/>
              </w:rPr>
              <w:t>.108</w:t>
            </w:r>
          </w:p>
        </w:tc>
        <w:tc>
          <w:tcPr>
            <w:tcW w:type="dxa" w:w="1504"/>
          </w:tcPr>
          <w:p>
            <w:pPr>
              <w:spacing w:after="0" w:before="0"/>
              <w:jc w:val="left"/>
            </w:pPr>
            <w:r/>
            <w:r>
              <w:rPr>
                <w:rFonts w:ascii="Times New Roman" w:hAnsi="Times New Roman"/>
                <w:sz w:val="18"/>
              </w:rPr>
              <w:t>.172</w:t>
            </w:r>
          </w:p>
        </w:tc>
      </w:tr>
      <w:tr>
        <w:tc>
          <w:tcPr>
            <w:tcW w:type="dxa" w:w="1504"/>
          </w:tcPr>
          <w:p>
            <w:pPr>
              <w:spacing w:after="0" w:before="0"/>
              <w:jc w:val="left"/>
            </w:pPr>
            <w:r/>
            <w:r>
              <w:rPr>
                <w:rFonts w:ascii="Times New Roman" w:hAnsi="Times New Roman"/>
                <w:sz w:val="18"/>
              </w:rPr>
              <w:t>3,000 m</w:t>
            </w:r>
          </w:p>
        </w:tc>
        <w:tc>
          <w:tcPr>
            <w:tcW w:type="dxa" w:w="1504"/>
          </w:tcPr>
          <w:p>
            <w:pPr>
              <w:spacing w:after="0" w:before="0"/>
              <w:jc w:val="left"/>
            </w:pPr>
            <w:r/>
            <w:r>
              <w:rPr>
                <w:rFonts w:ascii="Times New Roman" w:hAnsi="Times New Roman"/>
                <w:sz w:val="18"/>
              </w:rPr>
              <w:t>300</w:t>
            </w:r>
          </w:p>
        </w:tc>
        <w:tc>
          <w:tcPr>
            <w:tcW w:type="dxa" w:w="1504"/>
          </w:tcPr>
          <w:p>
            <w:pPr>
              <w:spacing w:after="0" w:before="0"/>
              <w:jc w:val="left"/>
            </w:pPr>
            <w:r/>
            <w:r>
              <w:rPr>
                <w:rFonts w:ascii="Times New Roman" w:hAnsi="Times New Roman"/>
                <w:sz w:val="18"/>
              </w:rPr>
              <w:t>&lt; .001</w:t>
            </w:r>
          </w:p>
        </w:tc>
        <w:tc>
          <w:tcPr>
            <w:tcW w:type="dxa" w:w="1504"/>
          </w:tcPr>
          <w:p>
            <w:pPr>
              <w:spacing w:after="0" w:before="0"/>
              <w:jc w:val="left"/>
            </w:pPr>
            <w:r/>
            <w:r>
              <w:rPr>
                <w:rFonts w:ascii="Times New Roman" w:hAnsi="Times New Roman"/>
                <w:sz w:val="18"/>
              </w:rPr>
              <w:t>1.165 [1.017, 1.336]</w:t>
            </w:r>
          </w:p>
        </w:tc>
        <w:tc>
          <w:tcPr>
            <w:tcW w:type="dxa" w:w="1504"/>
          </w:tcPr>
          <w:p>
            <w:pPr>
              <w:spacing w:after="0" w:before="0"/>
              <w:jc w:val="left"/>
            </w:pPr>
            <w:r/>
            <w:r>
              <w:rPr>
                <w:rFonts w:ascii="Times New Roman" w:hAnsi="Times New Roman"/>
                <w:sz w:val="18"/>
              </w:rPr>
              <w:t>.028</w:t>
            </w:r>
          </w:p>
        </w:tc>
        <w:tc>
          <w:tcPr>
            <w:tcW w:type="dxa" w:w="1504"/>
          </w:tcPr>
          <w:p>
            <w:pPr>
              <w:spacing w:after="0" w:before="0"/>
              <w:jc w:val="left"/>
            </w:pPr>
            <w:r/>
            <w:r>
              <w:rPr>
                <w:rFonts w:ascii="Times New Roman" w:hAnsi="Times New Roman"/>
                <w:sz w:val="18"/>
              </w:rPr>
              <w:t>.157</w:t>
            </w:r>
          </w:p>
        </w:tc>
      </w:tr>
      <w:tr>
        <w:tc>
          <w:tcPr>
            <w:tcW w:type="dxa" w:w="1504"/>
          </w:tcPr>
          <w:p>
            <w:pPr>
              <w:spacing w:after="0" w:before="0"/>
              <w:jc w:val="left"/>
            </w:pPr>
            <w:r/>
            <w:r>
              <w:rPr>
                <w:rFonts w:ascii="Times New Roman" w:hAnsi="Times New Roman"/>
                <w:sz w:val="18"/>
              </w:rPr>
              <w:t>5,000 m</w:t>
            </w:r>
          </w:p>
        </w:tc>
        <w:tc>
          <w:tcPr>
            <w:tcW w:type="dxa" w:w="1504"/>
          </w:tcPr>
          <w:p>
            <w:pPr>
              <w:spacing w:after="0" w:before="0"/>
              <w:jc w:val="left"/>
            </w:pPr>
            <w:r/>
            <w:r>
              <w:rPr>
                <w:rFonts w:ascii="Times New Roman" w:hAnsi="Times New Roman"/>
                <w:sz w:val="18"/>
              </w:rPr>
              <w:t>504</w:t>
            </w:r>
          </w:p>
        </w:tc>
        <w:tc>
          <w:tcPr>
            <w:tcW w:type="dxa" w:w="1504"/>
          </w:tcPr>
          <w:p>
            <w:pPr>
              <w:spacing w:after="0" w:before="0"/>
              <w:jc w:val="left"/>
            </w:pPr>
            <w:r/>
            <w:r>
              <w:rPr>
                <w:rFonts w:ascii="Times New Roman" w:hAnsi="Times New Roman"/>
                <w:sz w:val="18"/>
              </w:rPr>
              <w:t>&lt; .001</w:t>
            </w:r>
          </w:p>
        </w:tc>
        <w:tc>
          <w:tcPr>
            <w:tcW w:type="dxa" w:w="1504"/>
          </w:tcPr>
          <w:p>
            <w:pPr>
              <w:spacing w:after="0" w:before="0"/>
              <w:jc w:val="left"/>
            </w:pPr>
            <w:r/>
            <w:r>
              <w:rPr>
                <w:rFonts w:ascii="Times New Roman" w:hAnsi="Times New Roman"/>
                <w:sz w:val="18"/>
              </w:rPr>
              <w:t>1.235 [1.109, 1.375]</w:t>
            </w:r>
          </w:p>
        </w:tc>
        <w:tc>
          <w:tcPr>
            <w:tcW w:type="dxa" w:w="1504"/>
          </w:tcPr>
          <w:p>
            <w:pPr>
              <w:spacing w:after="0" w:before="0"/>
              <w:jc w:val="left"/>
            </w:pPr>
            <w:r/>
            <w:r>
              <w:rPr>
                <w:rFonts w:ascii="Times New Roman" w:hAnsi="Times New Roman"/>
                <w:sz w:val="18"/>
              </w:rPr>
              <w:t>.00012</w:t>
            </w:r>
          </w:p>
        </w:tc>
        <w:tc>
          <w:tcPr>
            <w:tcW w:type="dxa" w:w="1504"/>
          </w:tcPr>
          <w:p>
            <w:pPr>
              <w:spacing w:after="0" w:before="0"/>
              <w:jc w:val="left"/>
            </w:pPr>
            <w:r/>
            <w:r>
              <w:rPr>
                <w:rFonts w:ascii="Times New Roman" w:hAnsi="Times New Roman"/>
                <w:sz w:val="18"/>
              </w:rPr>
              <w:t>.410</w:t>
            </w:r>
          </w:p>
        </w:tc>
      </w:tr>
    </w:tbl>
    <w:p/>
    <w:p>
      <w:pPr>
        <w:spacing w:after="120"/>
      </w:pPr>
      <w:r>
        <w:rPr>
          <w:b w:val="0"/>
          <w:i w:val="0"/>
        </w:rPr>
        <w:t>Table S11. Distance-threshold sensitivity (check 2). MW p comes from a two-sided Mann–Whitney U on degree. Regression IRR and p come from the negative binomial park coefficient with the 2,000 m density covariate of the July 2026 retrieval. The August re-collection moves the 2,000 m row to 1.1514, p = .107. The 5,000 m row is the August-vintage headline; under the July covariate it is 1.167 [1.050, 1.298], p = .0041 (S12). TOST is against IRR 0.80–1.25. At the vintage-matched 5,000 m × 5,000 m headline combination the estimate is 1.2348 (TOST p = .412). Mean treated-group institute density is 8.5, 6.5, 10.7, 10.0, and 11.9 from 500 to 5,000 m, against 4.4–4.8 for controls at every threshold.</w:t>
      </w:r>
    </w:p>
    <w:p>
      <w:pPr/>
      <w:r>
        <w:rPr>
          <w:b/>
        </w:rPr>
        <w:t xml:space="preserve">What the exposure measured. </w:t>
      </w:r>
      <w:r>
        <w:t>The interpretation of the exposure was never secure independently of the consortium result. A boundary mechanism should be strongest where containment is most certain. Yet the estimate is 0.81 at 500 m, the radius that most nearly isolates containment, and the government-designation subsample, built by a different route, also sits below 1. Both are imprecise and neither excludes the wider estimates, but they agree in direction. The coefficient rises monotonically as the exposure admits more non-park territory, and the profile runs opposite to the concentric-ring attenuation the agglomeration literature reports (Rosenthal &amp; Strange, 2003). The distance proxy's internally measured false-positive rate is 41.5% at 2,000 m and 54.1% at 5,000 m. Read with that, what was measured is proximity to a park-containing neighbourhood at a 1–5 km scale, not park membership. This is not evidence that the fine-grained mechanism is absent. Arzaghi and Henderson (2008), Kabo et al. (2014), and Catalini (2018) detect proximity effects at building, campus, and few-hundred-metre resolution, and the 500 m estimate here is the point at which this design's own exposure measurement is weakest. A globally distributed, registry-verified design buys population scale at the cost of a resolution floor, and the mechanism those studies identify, and that Yabe et al. (2026) track directly, operates below it. The covariates, meanwhile, are findings this literature under-reports. Local research-institute density (IRR 1.28 per unit log density), distance to the nearest motorway junction (0.66), and productivity (2.05) are each larger than the park term. Each is also far more precisely estimated. Within academic co-authorship, the density-controlled premium at the headline specification is two to three additional partner institutions across the whole window. That is IRR 1.235 on a non-park mean of about twelve distinct partners, a third to a half of it from a handful of consortium papers. It has no practical significance for siting or investment decisions, and co-publication counts should not serve as a park performance indicator without local validation.</w:t>
      </w:r>
    </w:p>
    <w:p>
      <w:pPr>
        <w:pStyle w:val="2"/>
      </w:pPr>
      <w:r>
        <w:rPr>
          <w:b w:val="0"/>
          <w:i w:val="0"/>
        </w:rPr>
        <w:t>S18 Checks 1, 3–8, 10 and 12 in full</w:t>
      </w:r>
    </w:p>
    <w:p>
      <w:pPr/>
      <w:r>
        <w:rPr>
          <w:b w:val="0"/>
          <w:i w:val="0"/>
        </w:rPr>
        <w:t>Variance inflation factors are close to 1 throughout: park 1.01–1.03 and density covariates 1.11–1.22 in the main models. They reach 3.48 and 3.61 only when both density radii are entered together, which is why that model is reported for its park estimate alone. Of the 187 park institutions at 2,000 m, 5 (2.7%) match Hsinchu Science Park, the one park receiving polygon-level attention, and excluding them changes nothing (IRR 1.10 [0.93, 1.31]). At the headline specification 32 of 504 are excluded, giving 1.243. Fixed effects for all 139 countries in the frame (n = 7,821; 502 treated) leave the headline coefficient stable at IRR 1.178 [1.052, 1.318] (p = .0045). The gradient is therefore not an artefact of semiconductor research concentrating in particular nations. Country effects absorb between-country composition only, and they do not address the within-country siting confound H2 names (S9). Conditioning on productivity gives a nominally significant controlled direct effect at 2,000 m (IRR 1.13 [1.01, 1.28], p = .042). That effect fails its own full-model permutation (p = .121) and Holm correction, and I do not read it as evidence. At the headline specification it is 1.202 (permutation p = .0004). Productivity is measured within the sampled network, so it is not independent of network construction in the way an external confound would be (S10).</w:t>
      </w:r>
    </w:p>
    <w:p>
      <w:pPr/>
      <w:r>
        <w:rPr>
          <w:b w:val="0"/>
          <w:i w:val="0"/>
        </w:rPr>
        <w:t>A label permutation on the bivariate comparison gives p = .005. The country-stratified permutation returns p = .0280 at the headline specification against .0088 unrestricted, and .1868 on the consortium-excluded network (Figure 2 of the main text; Table S1) against .201 unrestricted. No verdict changes under either null. Betweenness, the specificity outcome, shows no park association at 500–3,000 m and marginal significance at 5,000 m (p = .011, r = .05). That marginal result survives neither a targeted permutation (p = .066) nor Holm correction within the ten-test family, so the checks remain consistent with a direct-tie rather than a brokerage mechanism. Geocoding failure for Taiwan (10.1%), China (11.3%), Japan (9.3%), and South Korea (12.0%), the countries central to the park-clustering narrative, is far below the worst-affected countries (Argentina 48.5%, Nepal 41.0%, Colombia 39.4%). Attrition therefore does not bias the park classification, and the country-level structure of that failure is analysed in Chang (2026b). The triangulation prerequisite found two of the ten most-matched parks misclassified at the time of study. Australian Technology Park was redeveloped into commercial office space in 2019, and Freiburger Innovationszentrum did not open until September 2022 (S3). Removing both and re-running matching from scratch gives a headline coefficient of 1.231 [1.103, 1.374] dropped and 1.226 [1.099, 1.368] recoded, against 1.235 on the full registry. Nothing that conditions on the node set and the edge set disturbs the association.</w:t>
      </w:r>
    </w:p>
    <w:p>
      <w:pPr/>
      <w:r>
        <w:rPr>
          <w:b w:val="0"/>
          <w:i w:val="0"/>
        </w:rPr>
        <w:t>Check 10 and the node- and edge-identity audits. I calibrated the misclassification simulation on internally measured rates. The triangulation found 162 of 1,302 audited matched records (12.4%) affected by the two period-specific park failures. On the nine parks with exact geometry, the distance proxy has a 54.1% false-positive rate at 5,000 m, where 33 of 61 haversine-positive coordinates lie outside the polygon (exact binomial 95% CI 40.9–66.9%). At 2,000 m the rate is 41.5% (17 of 41). False negatives run at 6.7% and 20.0%. Under 5,000 replicates per cell, power is .337 ± .0067 at true IRR 1.25, .813 at 1.5, and .994 at 2.0. The null arm fixes the true effect at IRR 1.00 with all three mechanisms active. It returns a false-positive rate of .025 ± .0022 at α = .05, and a 0.040% probability (2 of 5,000) of an estimate as extreme as the observed one. Measurement error of the documented kind therefore does not generate this result. Its scope is narrow, since it perturbs the exposure and is silent on confounding. Observed estimates are attenuated (mean 1.089, 1.179, 1.353 for true effects of 1.25, 1.5, 2.0), so an observed 1.235 back-maps to a true effect near 1.65. With power .337 at 1.25, however, a detected estimate is subject to the winner's curse, and the de-attenuated value is only an indication that the true effect is probably larger than observed (S11).</w:t>
      </w:r>
    </w:p>
    <w:p>
      <w:pPr/>
      <w:r>
        <w:rPr>
          <w:b w:val="0"/>
          <w:i w:val="0"/>
        </w:rPr>
        <w:t>The node-identity audit finds eighteen fragment nodes in the 7,886-node network where a standardized display name contains a comma. They are 0.228% of nodes, carry 411 degree in total, and none is park-affiliated (S13). Rebuilding without them moves the headline coefficient from 1.2348 (p = .000119) to 1.2391 (p = .0000908): measurable and consequence-free. Read alongside the growth of the node ratio from 3.9:1 to 9.6:1, that is evidence that entity resolution attenuates rather than eliminates node-identity pseudo-replication. The ROR-based audit of the pilot found at most 0.33% of nodes split by naming convention. It is computed on single-institution authorships that generate no edges, so it does not license a claim that the resolved network is clean (S1). At the edge level, 33,093 of 213,350 authorships (15.51%) list two or more institutions. Requiring two distinct authors to support a tie removes 1,478 of 47,742 distinct edges (3.10%), and the coefficient does not move (IRR 1.2419 [1.112, 1.386], permutation p = .0080, against 1.2348 and .0088). Nor is the loss differential by arm (p = .333). Affiliation multiplicity generates a measurable minority of the edge set without moving the estimate. That is the mirror image of the node-side result, where identity error moved the certainty by twenty orders while the effect neither separated between schemes nor was shown invariant. Restricting the park indicator to the five parks confirmed by unambiguous national-government designation (37 institutions) gives IRR 0.85 [0.58, 1.24] (p = .395), an uninformative precision check. These institutions' record matches collapse at 23:1 against 13:1 for the treated group network-wide, so they are disproportionately very large, multi-variant organizations, a different population rather than a cleaner sample.</w:t>
      </w:r>
    </w:p>
    <w:p>
      <w:pPr/>
      <w:r>
        <w:rPr>
          <w:b/>
        </w:rPr>
        <w:t xml:space="preserve">Check 12. </w:t>
      </w:r>
      <w:r>
        <w:t>The negative binomial predicts 1,049.2 zero-degree institutions against 465 observed (ratio 0.443; z = −19.5). The data are zero-deflated, not zero-inflated. A zero-inflated negative binomial is not identified: the Hessian is not invertible, the inflation probability sits at the boundary, LR = 5.58 on 5 df, p = .350, and AIC is 53,757.5 against 53,753.0. Its count-component park estimate equals the plain model's to four decimals. A two-part hurdle model fits better (AIC 52,547.4), because one dispersion parameter cannot match both the zero mass and the tail. It does not change the conclusion. The count-stage park estimate is 1.2542 [1.079, 1.457] at the headline specification and 1.1114 [0.955, 1.293] on the consortium-excluded network, where the model-based p rises from .048 to .171. The decomposition is informative in one respect. Park-affiliated institutions are more likely to hold any tie at all (zero-stage odds ratio 1.70 [0.984, 2.940]; 1.73 [1.002, 2.994] after the consortium exclusion), while the intensive margin does not survive. That margin is how many distinct partners an institution holds, the quantity H1 predicts. Whatever park proximity indexes sits closer to network entry than to collaboration breadth.</w:t>
      </w:r>
    </w:p>
    <w:p>
      <w:pPr>
        <w:pStyle w:val="2"/>
      </w:pPr>
      <w:r>
        <w:rPr>
          <w:b w:val="0"/>
          <w:i w:val="0"/>
        </w:rPr>
        <w:t>S19 The cross-field probe in full</w:t>
      </w:r>
    </w:p>
    <w:p>
      <w:pPr/>
      <w:r>
        <w:rPr>
          <w:b w:val="0"/>
          <w:i w:val="0"/>
        </w:rPr>
        <w:t>A second field run on the same instrument cannot confirm the semiconductor result. It shares the registry, classifier, geocoder, and pipeline, so an apparatus that generated the association would generate it again. It can test whether the checks order two superficially identical threshold gradients differently. CAR-T cell-therapy research (Topic T11491) was selected by the same screening procedure. I chose it because its park-clustering narrative is, if anything, stronger. The probe runs on a capped 5,000-work sample (36,892 strings, 91.0% geocoded, 4,819 entity-resolved institutions with coordinates and covariates, 157 park-affiliated at 2,000 m). It omits several audits performed for the main case, and its five design limitations are set out in S15.</w:t>
      </w:r>
    </w:p>
    <w:p>
      <w:pPr/>
      <w:r>
        <w:rPr>
          <w:b w:val="0"/>
          <w:i w:val="0"/>
        </w:rPr>
        <w:t>The CAR-T sweep begins by looking like the semiconductor case. The density-only park coefficient runs 0.49 (500 m, p = .007), 0.78, 0.89, 1.18 (3,000 m, p = .032), and 1.19 (5,000 m, p = .003). The treated counts at those radii are 22, 69, 157, 261, and 479. The gradient is monotone in radius, below 1 at the tightest threshold, and at the widest larger and more significant than silicon carbide's. The four-clause criterion is stated once and applied identically in both fields. A wide-threshold gradient counts as an association only if it survives density control at its own spatial scale, a full-model permutation, productivity control, and the consortium exclusion. Three of the four clauses are drawn from the protocol's general tiers (checks 4, 5, 9), and the fourth is check 2, which would be substituted in a non-spatial application. Table S12 reports the comparison. Silicon carbide survives the first three clauses; CAR-T survives none. Same-scale density control reduces the CAR-T coefficient to 1.118 (p = .062) where silicon carbide is unchanged at 1.235. The permutation gives .151 against .0088, and productivity collapses CAR-T to 0.95 where silicon carbide remains 1.202. I carried CAR-T through the remaining clauses for completeness, and it also fails the fourth. The ≥ 10 cap leaves IRR 1.007 [0.907, 1.119] (model p = .89; permutation p = .93; n = 3,421, 360 treated, the cap removing 29% of institutions in a field where 16.4% of works list ten or more institutions (maximum 105) and supply 85.6% of tie-instances). Fractional counting leaves 1.025 [0.915, 1.149] (permutation p = .82), 94% and 77% of the log-effect removed. CAR-T's treated group is comparable in size to silicon carbide's (479 against 504), which could suggest that its failure at the first clause is not a matter of power. The benchmark of S21 speaks to this directly: silicon-carbide draws of 5,000 works fail the first clause in 56% of cases, and draws at CAR-T's scale in institutions (about 4,300 institutions, 288 treated) in 27%. CAR-T's failure is therefore within what sampling variation produces, toward its less likely end, and the probe cannot be read as the checks discriminating between fields at that scale. The naive raw-string network reproduces the silicon-carbide pattern: a highly significant park association (p = 9.6×10⁻⁵) that vanishes on entity resolution (p = .692). What the probe does show is narrower. The node-identity collapse and the consortium decomposition reproduce on a corpus built independently of the silicon-carbide one, in a field where hyperauthorship is an order of magnitude more prevalent. Equivalence is confirmed in neither field (bootstrap TOST p = .079 for the CAR-T headline and .110 for the silicon-carbide consortium-excluded residual; Table S2), so the probe's negative outcome is a non-detection rather than a demonstrated absence.</w:t>
      </w:r>
    </w:p>
    <w:tbl>
      <w:tblPr>
        <w:tblW w:type="auto" w:w="0"/>
        <w:tblLayout w:type="autofit"/>
        <w:tblLook w:firstColumn="1" w:firstRow="1" w:lastColumn="0" w:lastRow="0" w:noHBand="0" w:noVBand="1" w:val="04A0"/>
        <w:tblBorders>
          <w:top w:val="single" w:sz="4" w:space="0" w:color="000000"/>
          <w:bottom w:val="single" w:sz="4" w:space="0" w:color="000000"/>
          <w:insideH w:val="single" w:sz="4" w:space="0" w:color="000000"/>
          <w:left w:val="nil"/>
          <w:right w:val="nil"/>
          <w:insideV w:val="nil"/>
        </w:tblBorders>
      </w:tblPr>
      <w:tblGrid>
        <w:gridCol w:w="3009"/>
        <w:gridCol w:w="3009"/>
        <w:gridCol w:w="3009"/>
      </w:tblGrid>
      <w:tr>
        <w:tc>
          <w:tcPr>
            <w:tcW w:type="dxa" w:w="3009"/>
          </w:tcPr>
          <w:p>
            <w:pPr>
              <w:spacing w:after="0" w:before="0"/>
              <w:jc w:val="left"/>
            </w:pPr>
            <w:r/>
            <w:r>
              <w:rPr>
                <w:rFonts w:ascii="Times New Roman" w:hAnsi="Times New Roman"/>
                <w:b/>
                <w:sz w:val="18"/>
              </w:rPr>
              <w:t>Test</w:t>
            </w:r>
          </w:p>
        </w:tc>
        <w:tc>
          <w:tcPr>
            <w:tcW w:type="dxa" w:w="3009"/>
          </w:tcPr>
          <w:p>
            <w:pPr>
              <w:spacing w:after="0" w:before="0"/>
              <w:jc w:val="left"/>
            </w:pPr>
            <w:r/>
            <w:r>
              <w:rPr>
                <w:rFonts w:ascii="Times New Roman" w:hAnsi="Times New Roman"/>
                <w:b/>
                <w:sz w:val="18"/>
              </w:rPr>
              <w:t>Silicon carbide (T10361)</w:t>
            </w:r>
          </w:p>
        </w:tc>
        <w:tc>
          <w:tcPr>
            <w:tcW w:type="dxa" w:w="3009"/>
          </w:tcPr>
          <w:p>
            <w:pPr>
              <w:spacing w:after="0" w:before="0"/>
              <w:jc w:val="left"/>
            </w:pPr>
            <w:r/>
            <w:r>
              <w:rPr>
                <w:rFonts w:ascii="Times New Roman" w:hAnsi="Times New Roman"/>
                <w:b/>
                <w:sz w:val="18"/>
              </w:rPr>
              <w:t>CAR-T (T11491)</w:t>
            </w:r>
          </w:p>
        </w:tc>
      </w:tr>
      <w:tr>
        <w:tc>
          <w:tcPr>
            <w:tcW w:type="dxa" w:w="3009"/>
          </w:tcPr>
          <w:p>
            <w:pPr>
              <w:spacing w:after="0" w:before="0"/>
              <w:jc w:val="left"/>
            </w:pPr>
            <w:r/>
            <w:r>
              <w:rPr>
                <w:rFonts w:ascii="Times New Roman" w:hAnsi="Times New Roman"/>
                <w:sz w:val="18"/>
              </w:rPr>
              <w:t>Entity-resolved Mann–Whitney (degree), p (network-assembly flag in both fields; S12)</w:t>
            </w:r>
          </w:p>
        </w:tc>
        <w:tc>
          <w:tcPr>
            <w:tcW w:type="dxa" w:w="3009"/>
          </w:tcPr>
          <w:p>
            <w:pPr>
              <w:spacing w:after="0" w:before="0"/>
              <w:jc w:val="left"/>
            </w:pPr>
            <w:r/>
            <w:r>
              <w:rPr>
                <w:rFonts w:ascii="Times New Roman" w:hAnsi="Times New Roman"/>
                <w:sz w:val="18"/>
              </w:rPr>
              <w:t>.0073</w:t>
            </w:r>
          </w:p>
        </w:tc>
        <w:tc>
          <w:tcPr>
            <w:tcW w:type="dxa" w:w="3009"/>
          </w:tcPr>
          <w:p>
            <w:pPr>
              <w:spacing w:after="0" w:before="0"/>
              <w:jc w:val="left"/>
            </w:pPr>
            <w:r/>
            <w:r>
              <w:rPr>
                <w:rFonts w:ascii="Times New Roman" w:hAnsi="Times New Roman"/>
                <w:sz w:val="18"/>
              </w:rPr>
              <w:t>.692</w:t>
            </w:r>
          </w:p>
        </w:tc>
      </w:tr>
      <w:tr>
        <w:tc>
          <w:tcPr>
            <w:tcW w:type="dxa" w:w="3009"/>
          </w:tcPr>
          <w:p>
            <w:pPr>
              <w:spacing w:after="0" w:before="0"/>
              <w:jc w:val="left"/>
            </w:pPr>
            <w:r/>
            <w:r>
              <w:rPr>
                <w:rFonts w:ascii="Times New Roman" w:hAnsi="Times New Roman"/>
                <w:sz w:val="18"/>
              </w:rPr>
              <w:t>Headline specification (5,000 m treatment × 5,000 m density), park IRR (p)</w:t>
            </w:r>
          </w:p>
        </w:tc>
        <w:tc>
          <w:tcPr>
            <w:tcW w:type="dxa" w:w="3009"/>
          </w:tcPr>
          <w:p>
            <w:pPr>
              <w:spacing w:after="0" w:before="0"/>
              <w:jc w:val="left"/>
            </w:pPr>
            <w:r/>
            <w:r>
              <w:rPr>
                <w:rFonts w:ascii="Times New Roman" w:hAnsi="Times New Roman"/>
                <w:sz w:val="18"/>
              </w:rPr>
              <w:t>1.235 [1.109, 1.375] (.00012)</w:t>
            </w:r>
          </w:p>
        </w:tc>
        <w:tc>
          <w:tcPr>
            <w:tcW w:type="dxa" w:w="3009"/>
          </w:tcPr>
          <w:p>
            <w:pPr>
              <w:spacing w:after="0" w:before="0"/>
              <w:jc w:val="left"/>
            </w:pPr>
            <w:r/>
            <w:r>
              <w:rPr>
                <w:rFonts w:ascii="Times New Roman" w:hAnsi="Times New Roman"/>
                <w:sz w:val="18"/>
              </w:rPr>
              <w:t>1.118 [0.994, 1.256] (.062)</w:t>
            </w:r>
          </w:p>
        </w:tc>
      </w:tr>
      <w:tr>
        <w:tc>
          <w:tcPr>
            <w:tcW w:type="dxa" w:w="3009"/>
          </w:tcPr>
          <w:p>
            <w:pPr>
              <w:spacing w:after="0" w:before="0"/>
              <w:jc w:val="left"/>
            </w:pPr>
            <w:r/>
            <w:r>
              <w:rPr>
                <w:rFonts w:ascii="Times New Roman" w:hAnsi="Times New Roman"/>
                <w:sz w:val="18"/>
              </w:rPr>
              <w:t>Full-model label-permutation test (5,000 refits), p</w:t>
            </w:r>
          </w:p>
        </w:tc>
        <w:tc>
          <w:tcPr>
            <w:tcW w:type="dxa" w:w="3009"/>
          </w:tcPr>
          <w:p>
            <w:pPr>
              <w:spacing w:after="0" w:before="0"/>
              <w:jc w:val="left"/>
            </w:pPr>
            <w:r/>
            <w:r>
              <w:rPr>
                <w:rFonts w:ascii="Times New Roman" w:hAnsi="Times New Roman"/>
                <w:sz w:val="18"/>
              </w:rPr>
              <w:t>.0088</w:t>
            </w:r>
          </w:p>
        </w:tc>
        <w:tc>
          <w:tcPr>
            <w:tcW w:type="dxa" w:w="3009"/>
          </w:tcPr>
          <w:p>
            <w:pPr>
              <w:spacing w:after="0" w:before="0"/>
              <w:jc w:val="left"/>
            </w:pPr>
            <w:r/>
            <w:r>
              <w:rPr>
                <w:rFonts w:ascii="Times New Roman" w:hAnsi="Times New Roman"/>
                <w:sz w:val="18"/>
              </w:rPr>
              <w:t>.151</w:t>
            </w:r>
          </w:p>
        </w:tc>
      </w:tr>
      <w:tr>
        <w:tc>
          <w:tcPr>
            <w:tcW w:type="dxa" w:w="3009"/>
          </w:tcPr>
          <w:p>
            <w:pPr>
              <w:spacing w:after="0" w:before="0"/>
              <w:jc w:val="left"/>
            </w:pPr>
            <w:r/>
            <w:r>
              <w:rPr>
                <w:rFonts w:ascii="Times New Roman" w:hAnsi="Times New Roman"/>
                <w:sz w:val="18"/>
              </w:rPr>
              <w:t>Productivity-controlled park IRR (p) at 5,000 m</w:t>
            </w:r>
          </w:p>
        </w:tc>
        <w:tc>
          <w:tcPr>
            <w:tcW w:type="dxa" w:w="3009"/>
          </w:tcPr>
          <w:p>
            <w:pPr>
              <w:spacing w:after="0" w:before="0"/>
              <w:jc w:val="left"/>
            </w:pPr>
            <w:r/>
            <w:r>
              <w:rPr>
                <w:rFonts w:ascii="Times New Roman" w:hAnsi="Times New Roman"/>
                <w:sz w:val="18"/>
              </w:rPr>
              <w:t>1.202 [1.114, 1.295] (model p = 1.7×10⁻⁶; permutation p = .0004)</w:t>
            </w:r>
          </w:p>
        </w:tc>
        <w:tc>
          <w:tcPr>
            <w:tcW w:type="dxa" w:w="3009"/>
          </w:tcPr>
          <w:p>
            <w:pPr>
              <w:spacing w:after="0" w:before="0"/>
              <w:jc w:val="left"/>
            </w:pPr>
            <w:r/>
            <w:r>
              <w:rPr>
                <w:rFonts w:ascii="Times New Roman" w:hAnsi="Times New Roman"/>
                <w:sz w:val="18"/>
              </w:rPr>
              <w:t>0.953 [0.879, 1.034] (.249)</w:t>
            </w:r>
          </w:p>
        </w:tc>
      </w:tr>
      <w:tr>
        <w:tc>
          <w:tcPr>
            <w:tcW w:type="dxa" w:w="3009"/>
          </w:tcPr>
          <w:p>
            <w:pPr>
              <w:spacing w:after="0" w:before="0"/>
              <w:jc w:val="left"/>
            </w:pPr>
            <w:r/>
            <w:r>
              <w:rPr>
                <w:rFonts w:ascii="Times New Roman" w:hAnsi="Times New Roman"/>
                <w:sz w:val="18"/>
              </w:rPr>
              <w:t>≥ 10 institution-count cap at 5,000 m, park IRR (model p; permutation p)</w:t>
            </w:r>
          </w:p>
        </w:tc>
        <w:tc>
          <w:tcPr>
            <w:tcW w:type="dxa" w:w="3009"/>
          </w:tcPr>
          <w:p>
            <w:pPr>
              <w:spacing w:after="0" w:before="0"/>
              <w:jc w:val="left"/>
            </w:pPr>
            <w:r/>
            <w:r>
              <w:rPr>
                <w:rFonts w:ascii="Times New Roman" w:hAnsi="Times New Roman"/>
                <w:sz w:val="18"/>
              </w:rPr>
              <w:t>1.1145 [1.001, 1.241] (.048; .201); 48.6% of log-effect removed</w:t>
            </w:r>
          </w:p>
        </w:tc>
        <w:tc>
          <w:tcPr>
            <w:tcW w:type="dxa" w:w="3009"/>
          </w:tcPr>
          <w:p>
            <w:pPr>
              <w:spacing w:after="0" w:before="0"/>
              <w:jc w:val="left"/>
            </w:pPr>
            <w:r/>
            <w:r>
              <w:rPr>
                <w:rFonts w:ascii="Times New Roman" w:hAnsi="Times New Roman"/>
                <w:sz w:val="18"/>
              </w:rPr>
              <w:t>1.007 [0.907, 1.119] (.89; .93); 94% removed; n = 3,421</w:t>
            </w:r>
          </w:p>
        </w:tc>
      </w:tr>
      <w:tr>
        <w:tc>
          <w:tcPr>
            <w:tcW w:type="dxa" w:w="3009"/>
          </w:tcPr>
          <w:p>
            <w:pPr>
              <w:spacing w:after="0" w:before="0"/>
              <w:jc w:val="left"/>
            </w:pPr>
            <w:r/>
            <w:r>
              <w:rPr>
                <w:rFonts w:ascii="Times New Roman" w:hAnsi="Times New Roman"/>
                <w:sz w:val="18"/>
              </w:rPr>
              <w:t>Fractional counting at 5,000 m, park IRR (model p; permutation p)</w:t>
            </w:r>
          </w:p>
        </w:tc>
        <w:tc>
          <w:tcPr>
            <w:tcW w:type="dxa" w:w="3009"/>
          </w:tcPr>
          <w:p>
            <w:pPr>
              <w:spacing w:after="0" w:before="0"/>
              <w:jc w:val="left"/>
            </w:pPr>
            <w:r/>
            <w:r>
              <w:rPr>
                <w:rFonts w:ascii="Times New Roman" w:hAnsi="Times New Roman"/>
                <w:sz w:val="18"/>
              </w:rPr>
              <w:t>1.1396 [1.006, 1.291] (.040; .306); 38.0% removed</w:t>
            </w:r>
          </w:p>
        </w:tc>
        <w:tc>
          <w:tcPr>
            <w:tcW w:type="dxa" w:w="3009"/>
          </w:tcPr>
          <w:p>
            <w:pPr>
              <w:spacing w:after="0" w:before="0"/>
              <w:jc w:val="left"/>
            </w:pPr>
            <w:r/>
            <w:r>
              <w:rPr>
                <w:rFonts w:ascii="Times New Roman" w:hAnsi="Times New Roman"/>
                <w:sz w:val="18"/>
              </w:rPr>
              <w:t>1.025 [0.915, 1.149] (.67; .82); 77% removed</w:t>
            </w:r>
          </w:p>
        </w:tc>
      </w:tr>
      <w:tr>
        <w:tc>
          <w:tcPr>
            <w:tcW w:type="dxa" w:w="3009"/>
          </w:tcPr>
          <w:p>
            <w:pPr>
              <w:spacing w:after="0" w:before="0"/>
              <w:jc w:val="left"/>
            </w:pPr>
            <w:r/>
            <w:r>
              <w:rPr>
                <w:rFonts w:ascii="Times New Roman" w:hAnsi="Times New Roman"/>
                <w:sz w:val="18"/>
              </w:rPr>
              <w:t>Works with ≥ 10 institutions (share of works; share of tie-instances)</w:t>
            </w:r>
          </w:p>
        </w:tc>
        <w:tc>
          <w:tcPr>
            <w:tcW w:type="dxa" w:w="3009"/>
          </w:tcPr>
          <w:p>
            <w:pPr>
              <w:spacing w:after="0" w:before="0"/>
              <w:jc w:val="left"/>
            </w:pPr>
            <w:r/>
            <w:r>
              <w:rPr>
                <w:rFonts w:ascii="Times New Roman" w:hAnsi="Times New Roman"/>
                <w:sz w:val="18"/>
              </w:rPr>
              <w:t>156 (0.33%; 17.4%)</w:t>
            </w:r>
          </w:p>
        </w:tc>
        <w:tc>
          <w:tcPr>
            <w:tcW w:type="dxa" w:w="3009"/>
          </w:tcPr>
          <w:p>
            <w:pPr>
              <w:spacing w:after="0" w:before="0"/>
              <w:jc w:val="left"/>
            </w:pPr>
            <w:r/>
            <w:r>
              <w:rPr>
                <w:rFonts w:ascii="Times New Roman" w:hAnsi="Times New Roman"/>
                <w:sz w:val="18"/>
              </w:rPr>
              <w:t>816 (16.4%; 85.6%)</w:t>
            </w:r>
          </w:p>
        </w:tc>
      </w:tr>
      <w:tr>
        <w:tc>
          <w:tcPr>
            <w:tcW w:type="dxa" w:w="3009"/>
          </w:tcPr>
          <w:p>
            <w:pPr>
              <w:spacing w:after="0" w:before="0"/>
              <w:jc w:val="left"/>
            </w:pPr>
            <w:r/>
            <w:r>
              <w:rPr>
                <w:rFonts w:ascii="Times New Roman" w:hAnsi="Times New Roman"/>
                <w:sz w:val="18"/>
              </w:rPr>
              <w:t>Verdict under the four-clause criterion</w:t>
            </w:r>
          </w:p>
        </w:tc>
        <w:tc>
          <w:tcPr>
            <w:tcW w:type="dxa" w:w="3009"/>
          </w:tcPr>
          <w:p>
            <w:pPr>
              <w:spacing w:after="0" w:before="0"/>
              <w:jc w:val="left"/>
            </w:pPr>
            <w:r/>
            <w:r>
              <w:rPr>
                <w:rFonts w:ascii="Times New Roman" w:hAnsi="Times New Roman"/>
                <w:sz w:val="18"/>
              </w:rPr>
              <w:t>Survives the first three clauses, fails the fourth: terminal residual IRR 1.1145, permutation p = .201</w:t>
            </w:r>
          </w:p>
        </w:tc>
        <w:tc>
          <w:tcPr>
            <w:tcW w:type="dxa" w:w="3009"/>
          </w:tcPr>
          <w:p>
            <w:pPr>
              <w:spacing w:after="0" w:before="0"/>
              <w:jc w:val="left"/>
            </w:pPr>
            <w:r/>
            <w:r>
              <w:rPr>
                <w:rFonts w:ascii="Times New Roman" w:hAnsi="Times New Roman"/>
                <w:sz w:val="18"/>
              </w:rPr>
              <w:t>Fails at the first clause; carried through, fails the fourth as well: terminal residual IRR 1.007, permutation p = .93</w:t>
            </w:r>
          </w:p>
        </w:tc>
      </w:tr>
      <w:tr>
        <w:tc>
          <w:tcPr>
            <w:tcW w:type="dxa" w:w="3009"/>
          </w:tcPr>
          <w:p>
            <w:pPr>
              <w:spacing w:after="0" w:before="0"/>
              <w:jc w:val="left"/>
            </w:pPr>
            <w:r/>
            <w:r>
              <w:rPr>
                <w:rFonts w:ascii="Times New Roman" w:hAnsi="Times New Roman"/>
                <w:sz w:val="18"/>
              </w:rPr>
              <w:t>Scale-matched benchmark (S21): share of silicon-carbide subsamples passing clause 1 / clauses 1–3 / all four</w:t>
            </w:r>
          </w:p>
        </w:tc>
        <w:tc>
          <w:tcPr>
            <w:tcW w:type="dxa" w:w="3009"/>
          </w:tcPr>
          <w:p>
            <w:pPr>
              <w:spacing w:after="0" w:before="0"/>
              <w:jc w:val="left"/>
            </w:pPr>
            <w:r/>
            <w:r>
              <w:rPr>
                <w:rFonts w:ascii="Times New Roman" w:hAnsi="Times New Roman"/>
                <w:sz w:val="18"/>
              </w:rPr>
              <w:t>44% / 20% / 2% (50 draws of 5,000 works); 73% / 37% / 7% (30 draws of 16,500 works, 288 treated)</w:t>
            </w:r>
          </w:p>
        </w:tc>
        <w:tc>
          <w:tcPr>
            <w:tcW w:type="dxa" w:w="3009"/>
          </w:tcPr>
          <w:p>
            <w:pPr>
              <w:spacing w:after="0" w:before="0"/>
              <w:jc w:val="left"/>
            </w:pPr>
            <w:r/>
            <w:r>
              <w:rPr>
                <w:rFonts w:ascii="Times New Roman" w:hAnsi="Times New Roman"/>
                <w:sz w:val="18"/>
              </w:rPr>
              <w:t>—</w:t>
            </w:r>
          </w:p>
        </w:tc>
      </w:tr>
    </w:tbl>
    <w:p/>
    <w:p>
      <w:pPr>
        <w:spacing w:after="120"/>
      </w:pPr>
      <w:r>
        <w:rPr>
          <w:b w:val="0"/>
          <w:i w:val="0"/>
        </w:rPr>
        <w:t>Table S12. The four-clause criterion across the two fields: the full-population silicon-carbide case against the capped 5,000-work CAR-T probe. Rows report the park coefficient only. Both fields follow the specifications of the main text, Section 2.3, and all density covariates in both fields are drawn from the same August 2026 OpenStreetMap retrieval.</w:t>
      </w:r>
    </w:p>
    <w:p>
      <w:pPr>
        <w:pStyle w:val="2"/>
      </w:pPr>
      <w:r>
        <w:rPr>
          <w:b w:val="0"/>
          <w:i w:val="0"/>
        </w:rPr>
        <w:t>S20 Placebo exclusion, covariate attenuation, and the geography of hyperauthored works</w:t>
      </w:r>
    </w:p>
    <w:p>
      <w:pPr/>
      <w:r>
        <w:rPr>
          <w:b w:val="0"/>
          <w:i w:val="0"/>
        </w:rPr>
        <w:t>Placebo exclusion. The ≥ 10 cap removes 156 works carrying 17.39% of the network's pairwise tie-instances and 48.6% of the headline log-effect. To establish whether removing that much tie mass from any subset of works would do the same, I drew 2,000 random sets of works. Each set was accumulated in random order until its tie-instance share reached 17.39%, and I re-estimated the headline regression on the network rebuilt without them. Institutions that no longer appear in any remaining work were dropped, exactly as the cap procedure does (seed 20260905). I used two universes: all works listing two or more institutions (about 4,135 works per draw; mean n = 7,409), and only works listing two to nine institutions (about 4,976 works per draw; mean n = 7,351). In the first universe the placebo coefficient averages IRR 1.2346 (SD 0.0237; 2.5th–97.5th percentiles 1.184–1.277), removing on average 0.2% of the log-effect with a 99th percentile of 23.9% and a maximum of 33.9%. In the second it averages 1.2559 (SD 0.0145; 1.227–1.285), that is, removing small-team works moves the coefficient upward, by 8.0% of the log-effect on average. No draw in either universe reached the ≥ 10 cap's 48.6% (placebo p = 1/2,001 &lt; .001), and the cap lies 5.3 and 10.3 placebo standard deviations below the respective placebo means. Figure 2 of the main text plots the first placebo distribution beside the caps. The same test at the other caps (1,000 draws each) gives the same answer: the ≥ 6 cap's 47.6% against a placebo mean of -0.5% and maximum of 48.9% (p = 0.002), and the ≥ 15 cap's 32.9% against -0.1% and 26.6% (p = 0.001).</w:t>
      </w:r>
    </w:p>
    <w:p>
      <w:pPr/>
      <w:r>
        <w:rPr>
          <w:b w:val="0"/>
          <w:i w:val="0"/>
        </w:rPr>
        <w:t>Denominator dependence. The share removed is a ratio whose denominator is the headline log-effect, and that denominator moves with the covariate vintage (S12). With the July-vintage 2,000 m density covariate the 5,000 m specification gives IRR 1.167 [1.050, 1.298]. Under that specification the ≥ 10 cap leaves 1.039 and fractional counting leaves 1.040, 75% and 75% of the log-effect removed. The absolute reductions (0.12 and 0.12 log units) are larger than at the August-vintage headline (0.10 and 0.08), so the hyperauthorship component is not an artefact of the vintage that maximizes the denominator.</w:t>
      </w:r>
    </w:p>
    <w:p>
      <w:pPr/>
      <w:r>
        <w:rPr>
          <w:b w:val="0"/>
          <w:i w:val="0"/>
        </w:rPr>
        <w:t>Covariate attenuation. The cap is not selective to the park term. Under the ≥ 10 cap the log-density coefficient falls from 0.1085 to 0.0691, which removes 36% of its log-effect, against 48.6% for the park term. The station and junction terms move by 6% and 6%. Consortium works therefore carry part of the density gradient as well as part of the park premium. Under fractional counting the density coefficient is within 2.5% of its whole-counted value, and the station and junction terms strengthen by 12% and 24%, while the park term loses 38.0%. That is why I report the cap as a diagnostic sweep and the unprojected fractional outcome as the reporting form: the cap attenuates the density gradient as well as the park term, whereas fractional counting changes the outcome and leaves the covariates in place.</w:t>
      </w:r>
    </w:p>
    <w:p>
      <w:pPr/>
      <w:r>
        <w:rPr>
          <w:b w:val="0"/>
          <w:i w:val="0"/>
        </w:rPr>
        <w:t>Geography of hyperauthored works. For every work with two or more resolved institutions, I classified institution pairs by shared country and by great-circle distance between institution coordinates. The majority country per institution comes from the OpenAlex country field. Works listing ten or more institutions (156; 12,910 pairs with country data) are no less national than works listing two to nine (23,626 works; 64,982 pairs): 62.5% against 62.3% of pairs share a country. They are markedly less local: 16.1% of their pairs lie within 50 km against 24.5%. The median of within-work median distances is 744 km against 926 km. For pairs involving an institution treated at 5,000 m, the within-50 km share is 9.4% against 22.1%. The consortium ties that carry a third to a half of the park premium at the headline specification are therefore the ties least likely to have been formed by local interaction.</w:t>
      </w:r>
    </w:p>
    <w:p>
      <w:pPr>
        <w:pStyle w:val="2"/>
      </w:pPr>
      <w:r>
        <w:rPr>
          <w:b w:val="0"/>
          <w:i w:val="0"/>
        </w:rPr>
        <w:t>S21 Scale-matched subsample benchmark for the cross-field probe</w:t>
      </w:r>
    </w:p>
    <w:p>
      <w:pPr/>
      <w:r>
        <w:rPr>
          <w:b w:val="0"/>
          <w:i w:val="0"/>
        </w:rPr>
        <w:t>Fifty random samples of 5,000 works were drawn without replacement from the 54,671-work silicon-carbide corpus (seed 20260906). I rebuilt the entity-resolved network and the headline frame from each sample alone (median n = 2196 institutions; median 157 treated at 5,000 m), and applied the four-clause criterion of S19 with 1,000-refit permutations. The headline coefficient has median IRR 1.159 (interquartile range 1.076–1.242) and median model-based p = 0.096. The first clause (same-scale density control, p &lt; .05) is passed in 44% of draws, the second (permutation p &lt; .05) in 28%, and the third (productivity control) in 42%. The first three jointly are passed in 20% of draws, and all four in 2%. A field whose full-population gradient survives three clauses therefore fails the first in a majority of 5,000-work draws. The CAR-T outcome of S19 is consistent with sample size alone, so the probe does not discriminate between fields at that scale. Because these draws match CAR-T on works but not on institutions or treated units, I ran two further sets of thirty draws at larger scales. Draws of 11,500 works (median 3542 institutions, 236 treated) pass the first clause in 40% of draws, the first three in 23%, and all four in 0%. Draws of 16,500 works (median 4300 institutions, 288 treated) pass them in 73%, 37%, and 7%. That scale is the closest to CAR-T's 4,819 and 479 that draws of less than a third of the corpus reach. At CAR-T's scale in institutions, then, a silicon-carbide draw fails the first clause in about a quarter of cases. CAR-T's failure is therefore within what sampling variation produces, though toward its less likely end. Draw-level results are deposited with the code (analysis/review_response_2026_09/subsamples_*.csv). These benchmarks, rather than the 5,000-work pilot of S2, are the appropriate size comparison, because they are drawn repeatedly from the same population.</w:t>
      </w:r>
    </w:p>
    <w:p>
      <w:pPr>
        <w:pStyle w:val="2"/>
      </w:pPr>
      <w:r>
        <w:rPr>
          <w:b w:val="0"/>
          <w:i w:val="0"/>
        </w:rPr>
        <w:t>S22 Permutation-null diagnostics and park-level dependence</w:t>
      </w:r>
    </w:p>
    <w:p>
      <w:pPr/>
      <w:r>
        <w:rPr>
          <w:b w:val="0"/>
          <w:i w:val="0"/>
        </w:rPr>
        <w:t>Shape of the null. On the full headline design the 5,000 unrestricted label permutations (seed 20260808) return a null with standard deviation 0.0812, skewness 0.04, and excess kurtosis 0.01. Its 95th absolute percentile is 1.95 standard deviations (Shapiro–Wilk p = 0.35). Of the draws, 0.4% lie beyond three standard deviations, and every refit converged. Figure S1 shows the histogram and normal quantile plot. The observed coefficient is 2.60 null standard deviations from zero (p = .0088). The absolute permuted coefficient is essentially uncorrelated with how many of the top-1% degree hubs a permutation happens to label as treated (r = 0.05). The null is therefore not a mixture driven by hub loading.</w:t>
      </w:r>
    </w:p>
    <w:p>
      <w:pPr/>
      <w:r>
        <w:rPr>
          <w:b w:val="0"/>
          <w:i w:val="0"/>
        </w:rPr>
        <w:t>Exchangeability. Treated institutions sit in denser neighbourhoods (mean 33.0 universities and research institutes within 5,000 m against 15.5), so an unrestricted permutation generates null treatment vectors independent of density. I therefore ran three restricted nulls with 5,000 refits each. Permutation within density quintiles of the log-density covariate gives p = 0.011, and permutation within deciles gives p = 0.014. A residual permutation, in which the park indicator is regressed on the three covariates and only its residual is permuted, gives p = 0.010. The country-stratified permutation of S18 gives .0280. The headline coefficient meets the standard under each.</w:t>
      </w:r>
    </w:p>
    <w:p>
      <w:pPr/>
      <w:r>
        <w:rPr>
          <w:b w:val="0"/>
          <w:i w:val="0"/>
        </w:rPr>
        <w:t>Park-level dependence. Treatment is a property of a location, so institutions sharing a park are not independent treated units. I assigned each institution to the catchment of its nearest registry park by majority vote over its affiliation strings. That gives 222 catchments, of which 123 contain treated institutions, and the five largest treated catchments hold 18.5% of the 504 treated institutions. With standard errors clustered on catchment the headline coefficient is IRR 1.235 [1.036, 1.472], p = 0.019 (SE 0.0896 against 0.0548 model-based). Clustered on country (140 clusters: 139 countries plus one no-code cluster), the interval is [0.995, 1.532] with p = 0.055. A catchment-level permutation gives p = 0.014 over 5,000 refits. It permutes the per-catchment count of treated institutions across catchments, then draws that many institutions at random inside each receiving catchment, so that treatment stays clustered as it is observed.</w:t>
      </w:r>
    </w:p>
    <w:p>
      <w:pPr/>
      <w:r>
        <w:rPr>
          <w:b w:val="0"/>
          <w:i w:val="0"/>
        </w:rPr>
        <w:t>Standard errors. Sandwich standard errors (HC0, 0.0869), the institution bootstrap (0.0851; 95% interval [1.043, 1.452]), and the permutation null (0.0812) agree with one another. Each of them exceeds the model-based standard error (0.0548) by a factor of 1.5–1.6. The sandwich estimator does not model dependence between institutions, and it already closes the gap. The anticonservatism of the model-based standard error is therefore attributable to variance misspecification of the negative binomial rather than to dyadic dependence specifically, and the paper's inferential standard does not depend on which. Under the bootstrap lower bound of 1.043 the consortium-excluded estimate of 1.1145 still lies above the bound, so criterion 1 of check 9 does not fire under either standard error.</w:t>
      </w:r>
    </w:p>
    <w:p>
      <w:pPr>
        <w:jc w:val="center"/>
      </w:pPr>
      <w:r>
        <w:drawing>
          <wp:inline xmlns:a="http://schemas.openxmlformats.org/drawingml/2006/main" xmlns:pic="http://schemas.openxmlformats.org/drawingml/2006/picture">
            <wp:extent cx="5760720" cy="2304288"/>
            <wp:docPr id="1" name="Picture 1"/>
            <wp:cNvGraphicFramePr>
              <a:graphicFrameLocks noChangeAspect="1"/>
            </wp:cNvGraphicFramePr>
            <a:graphic>
              <a:graphicData uri="http://schemas.openxmlformats.org/drawingml/2006/picture">
                <pic:pic>
                  <pic:nvPicPr>
                    <pic:cNvPr id="0" name="Figure_S1_permutation_null.png"/>
                    <pic:cNvPicPr/>
                  </pic:nvPicPr>
                  <pic:blipFill>
                    <a:blip r:embed="rId6"/>
                    <a:stretch>
                      <a:fillRect/>
                    </a:stretch>
                  </pic:blipFill>
                  <pic:spPr>
                    <a:xfrm>
                      <a:off x="0" y="0"/>
                      <a:ext cx="5760720" cy="2304288"/>
                    </a:xfrm>
                    <a:prstGeom prst="rect"/>
                  </pic:spPr>
                </pic:pic>
              </a:graphicData>
            </a:graphic>
          </wp:inline>
        </w:drawing>
      </w:r>
    </w:p>
    <w:p>
      <w:pPr>
        <w:spacing w:after="120"/>
      </w:pPr>
      <w:r>
        <w:rPr>
          <w:b w:val="0"/>
          <w:i w:val="0"/>
        </w:rPr>
        <w:t>Figure S1. The unrestricted permutation null on the headline design.</w:t>
      </w:r>
    </w:p>
    <w:p>
      <w:pPr>
        <w:spacing w:after="120"/>
      </w:pPr>
      <w:r>
        <w:rPr>
          <w:b w:val="0"/>
          <w:i w:val="0"/>
        </w:rPr>
        <w:t>Note. Histogram of 5,000 permuted park coefficients (log IRR scale; the solid line is the observed coefficient and the dotted line its negative) and normal quantile plot. Built from the deposited data by analysis/16_review_response_2026_09.py.</w:t>
      </w:r>
    </w:p>
    <w:p>
      <w:pPr>
        <w:pStyle w:val="2"/>
      </w:pPr>
      <w:r>
        <w:rPr>
          <w:b w:val="0"/>
          <w:i w:val="0"/>
        </w:rPr>
        <w:t>References cited in this supplement</w:t>
      </w:r>
    </w:p>
    <w:p>
      <w:pPr/>
      <w:r>
        <w:rPr>
          <w:b w:val="0"/>
          <w:i w:val="0"/>
        </w:rPr>
        <w:t>Abramo, G., Apponi, F., &amp; D'Angelo, C. A. (2024). The moderating role of the territorial research infrastructure on the geographic proximity effect in research collaborations: A regional-based view. Scientometrics, 129(6), 3149–3168. https://doi.org/10.1007/s11192-024-05025-z</w:t>
      </w:r>
    </w:p>
    <w:p>
      <w:pPr/>
      <w:r>
        <w:rPr>
          <w:b w:val="0"/>
          <w:i w:val="0"/>
        </w:rPr>
        <w:t>Abramo, G., Apponi, F., &amp; D'Angelo, C. A. (2022). The geographic proximity effect on domestic cross-sector vis-à-vis intra-sector research collaborations. Scientometrics, 127(6), 3505–3521. https://doi.org/10.1007/s11192-022-04404-8</w:t>
      </w:r>
    </w:p>
    <w:p>
      <w:pPr/>
      <w:r>
        <w:rPr>
          <w:b w:val="0"/>
          <w:i w:val="0"/>
        </w:rPr>
        <w:t>Albahari, A., Barge-Gil, A., Pérez-Canto, S., &amp; Landoni, P. (2023). The effect of science and technology parks on tenant firms: A literature review. The Journal of Technology Transfer, 48(4), 1489–1531. https://doi.org/10.1007/s10961-022-09949-7</w:t>
      </w:r>
    </w:p>
    <w:p>
      <w:pPr/>
      <w:r>
        <w:rPr>
          <w:b w:val="0"/>
          <w:i w:val="0"/>
        </w:rPr>
        <w:t>Arzaghi, M., &amp; Henderson, J. V. (2008). Networking off Madison Avenue. The Review of Economic Studies, 75(4), 1011–1038. https://doi.org/10.1111/j.1467-937X.2008.00499.x</w:t>
      </w:r>
    </w:p>
    <w:p>
      <w:pPr/>
      <w:r>
        <w:rPr>
          <w:b w:val="0"/>
          <w:i w:val="0"/>
        </w:rPr>
        <w:t>Audretsch, D. B., &amp; Feldman, M. P. (1996). R&amp;D spillovers and the geography of innovation and production. The American Economic Review, 86(3), 630–640.</w:t>
      </w:r>
    </w:p>
    <w:p>
      <w:pPr/>
      <w:r>
        <w:rPr>
          <w:b w:val="0"/>
          <w:i w:val="0"/>
        </w:rPr>
        <w:t>Boschma, R. (2005). Proximity and innovation: A critical assessment. Regional Studies, 39(1), 61–74. https://doi.org/10.1080/0034340052000320887</w:t>
      </w:r>
    </w:p>
    <w:p>
      <w:pPr/>
      <w:r>
        <w:rPr>
          <w:b w:val="0"/>
          <w:i w:val="0"/>
        </w:rPr>
        <w:t>Catalini, C. (2018). Microgeography and the direction of inventive activity. Management Science, 64(9), 4348–4364. https://doi.org/10.1287/mnsc.2017.2798</w:t>
      </w:r>
    </w:p>
    <w:p>
      <w:pPr/>
      <w:r>
        <w:rPr>
          <w:b w:val="0"/>
          <w:i w:val="0"/>
        </w:rPr>
        <w:t>Chang, H.-C. (2026b). The geography of geocoding failure: Non-random missingness in open-infrastructure spatial scientometrics, and the limits of its correction by inverse-probability weighting [Manuscript submitted for publication]. Institute of Management of Technology, National Yang Ming Chiao Tung University.</w:t>
      </w:r>
    </w:p>
    <w:p>
      <w:pPr/>
      <w:r>
        <w:rPr>
          <w:b w:val="0"/>
          <w:i w:val="0"/>
        </w:rPr>
        <w:t>Frenken, K., Hardeman, S., &amp; Hoekman, J. (2009). Spatial scientometrics: Towards a cumulative research program. Journal of Informetrics, 3(3), 222–232. https://doi.org/10.1016/j.joi.2009.03.005</w:t>
      </w:r>
    </w:p>
    <w:p>
      <w:pPr/>
      <w:r>
        <w:rPr>
          <w:b w:val="0"/>
          <w:i w:val="0"/>
        </w:rPr>
        <w:t>Hansson, F., Husted, K., &amp; Vestergaard, J. (2005). Second generation science parks: From structural holes jockeys to social capital catalysts of the knowledge society. Technovation, 25(9), 1039–1049. https://doi.org/10.1016/j.technovation.2004.03.003</w:t>
      </w:r>
    </w:p>
    <w:p>
      <w:pPr/>
      <w:r>
        <w:rPr>
          <w:b w:val="0"/>
          <w:i w:val="0"/>
        </w:rPr>
        <w:t>He, C., Wu, J., &amp; Zhang, Q. (2021). Characterizing research leadership on geographically weighted collaboration network. Scientometrics, 126(5), 4005–4037. https://doi.org/10.1007/s11192-021-03943-w</w:t>
      </w:r>
    </w:p>
    <w:p>
      <w:pPr/>
      <w:r>
        <w:rPr>
          <w:b w:val="0"/>
          <w:i w:val="0"/>
        </w:rPr>
        <w:t>Hoekman, J., Frenken, K., &amp; van Oort, F. (2009). The geography of collaborative knowledge production in Europe. The Annals of Regional Science, 43(3), 721–738. https://doi.org/10.1007/s00168-008-0252-9</w:t>
      </w:r>
    </w:p>
    <w:p>
      <w:pPr/>
      <w:r>
        <w:rPr>
          <w:b w:val="0"/>
          <w:i w:val="0"/>
        </w:rPr>
        <w:t>Hung, W. C. (2012). Measuring the use of public research in firm R&amp;D in the Hsinchu Science Park. Scientometrics, 92(1), 63–73. https://doi.org/10.1007/s11192-012-0726-5</w:t>
      </w:r>
    </w:p>
    <w:p>
      <w:pPr/>
      <w:r>
        <w:rPr>
          <w:b w:val="0"/>
          <w:i w:val="0"/>
        </w:rPr>
        <w:t>Jaffe, A. B., Trajtenberg, M., &amp; Henderson, R. (1993). Geographic localization of knowledge spillovers as evidenced by patent citations. The Quarterly Journal of Economics, 108(3), 577–598. https://doi.org/10.2307/2118401</w:t>
      </w:r>
    </w:p>
    <w:p>
      <w:pPr/>
      <w:r>
        <w:rPr>
          <w:b w:val="0"/>
          <w:i w:val="0"/>
        </w:rPr>
        <w:t>Kabo, F. W., Cotton-Nessler, N., Hwang, Y., Levenstein, M. C., &amp; Owen-Smith, J. (2014). Proximity effects on the dynamics and outcomes of scientific collaborations. Research Policy, 43(9), 1469–1485. https://doi.org/10.1016/j.respol.2014.04.007</w:t>
      </w:r>
    </w:p>
    <w:p>
      <w:pPr/>
      <w:r>
        <w:rPr>
          <w:b w:val="0"/>
          <w:i w:val="0"/>
        </w:rPr>
        <w:t>Katz, J. S. (1994). Geographical proximity and scientific collaboration. Scientometrics, 31(1), 31–43. https://doi.org/10.1007/BF02018100</w:t>
      </w:r>
    </w:p>
    <w:p>
      <w:pPr/>
      <w:r>
        <w:rPr>
          <w:b w:val="0"/>
          <w:i w:val="0"/>
        </w:rPr>
        <w:t>Koopmann, T., Stubbemann, M., Kapa, M., Paris, M., Buenstorf, G., Hanika, T., Hotho, A., Jäschke, R., &amp; Stumme, G. (2021). Proximity dimensions and the emergence of collaboration: A HypTrails study on German AI research. Scientometrics, 126(12), 9847–9868. https://doi.org/10.1007/s11192-021-03922-1</w:t>
      </w:r>
    </w:p>
    <w:p>
      <w:pPr/>
      <w:r>
        <w:rPr>
          <w:b w:val="0"/>
          <w:i w:val="0"/>
        </w:rPr>
        <w:t>Lecluyse, L., Knockaert, M., &amp; Spithoven, A. (2019). The contribution of science parks: A literature review and future research agenda. The Journal of Technology Transfer, 44(2), 559–595. https://doi.org/10.1007/s10961-018-09712-x</w:t>
      </w:r>
    </w:p>
    <w:p>
      <w:pPr/>
      <w:r>
        <w:rPr>
          <w:b w:val="0"/>
          <w:i w:val="0"/>
        </w:rPr>
        <w:t>Link, A. N., &amp; Scott, J. T. (2003). U.S. science parks: The diffusion of an innovation and its effects on the academic missions of universities. International Journal of Industrial Organization, 21(9), 1323–1356. https://doi.org/10.1016/S0167-7187(03)00085-7</w:t>
      </w:r>
    </w:p>
    <w:p>
      <w:pPr/>
      <w:r>
        <w:rPr>
          <w:b w:val="0"/>
          <w:i w:val="0"/>
        </w:rPr>
        <w:t>Luo, Q., Xia, J. C., Haddow, G., Willson, M., &amp; Yang, J. (2018). Does distance hinder the collaboration between Australian universities in the humanities, arts and social sciences? Scientometrics, 115(2), 695–715. https://doi.org/10.1007/s11192-018-2686-x</w:t>
      </w:r>
    </w:p>
    <w:p>
      <w:pPr/>
      <w:r>
        <w:rPr>
          <w:b w:val="0"/>
          <w:i w:val="0"/>
        </w:rPr>
        <w:t>Maisonobe, M., Eckert, D., Grossetti, M., Jégou, L., &amp; Milard, B. (2016). The world network of scientific collaborations between cities: Domestic or international dynamics? Journal of Informetrics, 10(4), 1025–1036. https://doi.org/10.1016/j.joi.2016.06.002</w:t>
      </w:r>
    </w:p>
    <w:p>
      <w:pPr/>
      <w:r>
        <w:rPr>
          <w:b w:val="0"/>
          <w:i w:val="0"/>
        </w:rPr>
        <w:t>Minguillo, D., Tijssen, R., &amp; Thelwall, M. (2015). Do science parks promote research and technology? A scientometric analysis of the UK. Scientometrics, 102(1), 701–725. https://doi.org/10.1007/s11192-014-1435-z</w:t>
      </w:r>
    </w:p>
    <w:p>
      <w:pPr/>
      <w:r>
        <w:rPr>
          <w:b w:val="0"/>
          <w:i w:val="0"/>
        </w:rPr>
        <w:t>Newman, M. E. J. (2001). Scientific collaboration networks. II. Shortest paths, weighted networks, and centrality. Physical Review E, 64(1), Article 016132. https://doi.org/10.1103/PhysRevE.64.016132</w:t>
      </w:r>
    </w:p>
    <w:p>
      <w:pPr/>
      <w:r>
        <w:rPr>
          <w:b w:val="0"/>
          <w:i w:val="0"/>
        </w:rPr>
        <w:t>Ponds, R., van Oort, F., &amp; Frenken, K. (2007). The geographical and institutional proximity of research collaboration. Papers in Regional Science, 86(3), 423–443. https://doi.org/10.1111/j.1435-5957.2007.00126.x</w:t>
      </w:r>
    </w:p>
    <w:p>
      <w:pPr/>
      <w:r>
        <w:rPr>
          <w:b w:val="0"/>
          <w:i w:val="0"/>
        </w:rPr>
        <w:t>Rosenthal, S. S., &amp; Strange, W. C. (2003). Geography, industrial organization, and agglomeration. The Review of Economics and Statistics, 85(2), 377–393. https://doi.org/10.1162/003465303765299882</w:t>
      </w:r>
    </w:p>
    <w:p>
      <w:pPr/>
      <w:r>
        <w:rPr>
          <w:b w:val="0"/>
          <w:i w:val="0"/>
        </w:rPr>
        <w:t>Sánchez-Jiménez, R., Rodríguez, J. T., Guerrero-Bote, V. P., &amp; de Moya-Anegón, F. (2026). Identification of hyperauthorship in scientific publications: An approach based on outlier detection methods. Journal of Informetrics, 20(2), Article 101803. https://doi.org/10.1016/j.joi.2026.101803</w:t>
      </w:r>
    </w:p>
    <w:p>
      <w:pPr/>
      <w:r>
        <w:rPr>
          <w:b w:val="0"/>
          <w:i w:val="0"/>
        </w:rPr>
        <w:t>Siegel, D. S., Westhead, P., &amp; Wright, M. (2003). Assessing the impact of university science parks on research productivity: Exploratory firm-level evidence from the United Kingdom. International Journal of Industrial Organization, 21(9), 1357–1369. https://doi.org/10.1016/S0167-7187(03)00086-9</w:t>
      </w:r>
    </w:p>
    <w:p>
      <w:pPr/>
      <w:r>
        <w:rPr>
          <w:b w:val="0"/>
          <w:i w:val="0"/>
        </w:rPr>
        <w:t>Vedovello, C. (1997). Science parks and university-industry interaction: Geographical proximity between the agents as a driving force. Technovation, 17(9), 491–502. https://doi.org/10.1016/S0166-4972(97)00027-8</w:t>
      </w:r>
    </w:p>
    <w:p>
      <w:pPr/>
      <w:r>
        <w:rPr>
          <w:b w:val="0"/>
          <w:i w:val="0"/>
        </w:rPr>
        <w:t>Yabe, K., Takata, M., &amp; Matsuura, K. (2026). Breaking barriers in academic communication: Insights from a novel face-to-face interaction tracking app at an international conference. Journal of Informetrics, 20, Article 101767. https://doi.org/10.1016/j.joi.2025.101767</w:t>
      </w:r>
    </w:p>
    <w:p>
      <w:pPr/>
      <w:r>
        <w:rPr>
          <w:b w:val="0"/>
          <w:i w:val="0"/>
        </w:rPr>
        <w:t>Yang, A. J., Shi, Y., Wang, F., Song, X., &amp; Deng, S. (2026). Distant but bridgeable: How geographic and cognitive distance jointly shape interdisciplinary knowledge production. Journal of Informetrics, 20(3), Article 101840. https://doi.org/10.1016/j.joi.2026.101840</w:t>
      </w:r>
    </w:p>
    <w:sectPr w:rsidR="00302D7C" w:rsidRPr="005F41A5">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B63818" w14:textId="77777777" w:rsidR="00464FDC" w:rsidRDefault="00464FDC" w:rsidP="0032351D">
      <w:r>
        <w:separator/>
      </w:r>
    </w:p>
  </w:endnote>
  <w:endnote w:type="continuationSeparator" w:id="0">
    <w:p w14:paraId="6F3E51F8" w14:textId="77777777" w:rsidR="00464FDC" w:rsidRDefault="00464FDC" w:rsidP="003235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400F16" w14:textId="77777777" w:rsidR="00464FDC" w:rsidRDefault="00464FDC" w:rsidP="0032351D">
      <w:r>
        <w:separator/>
      </w:r>
    </w:p>
  </w:footnote>
  <w:footnote w:type="continuationSeparator" w:id="0">
    <w:p w14:paraId="643FE588" w14:textId="77777777" w:rsidR="00464FDC" w:rsidRDefault="00464FDC" w:rsidP="0032351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7FEF"/>
    <w:rsid w:val="00087FEF"/>
    <w:rsid w:val="00103845"/>
    <w:rsid w:val="00115A5A"/>
    <w:rsid w:val="00125665"/>
    <w:rsid w:val="00126848"/>
    <w:rsid w:val="001E090E"/>
    <w:rsid w:val="002179AF"/>
    <w:rsid w:val="0022785C"/>
    <w:rsid w:val="00290BC7"/>
    <w:rsid w:val="002C7169"/>
    <w:rsid w:val="002F3963"/>
    <w:rsid w:val="003028DE"/>
    <w:rsid w:val="00302D7C"/>
    <w:rsid w:val="0032351D"/>
    <w:rsid w:val="00327968"/>
    <w:rsid w:val="003A2B22"/>
    <w:rsid w:val="003E3774"/>
    <w:rsid w:val="003F6FD7"/>
    <w:rsid w:val="00464FDC"/>
    <w:rsid w:val="00472150"/>
    <w:rsid w:val="00573952"/>
    <w:rsid w:val="005A423C"/>
    <w:rsid w:val="005F41A5"/>
    <w:rsid w:val="006306AC"/>
    <w:rsid w:val="006F247C"/>
    <w:rsid w:val="006F4123"/>
    <w:rsid w:val="00704A6D"/>
    <w:rsid w:val="007401FE"/>
    <w:rsid w:val="00774418"/>
    <w:rsid w:val="0079568C"/>
    <w:rsid w:val="007C3D9C"/>
    <w:rsid w:val="007E5147"/>
    <w:rsid w:val="00802C23"/>
    <w:rsid w:val="00804656"/>
    <w:rsid w:val="008345E4"/>
    <w:rsid w:val="008B38DE"/>
    <w:rsid w:val="008C5C7D"/>
    <w:rsid w:val="00902BFC"/>
    <w:rsid w:val="00970F6D"/>
    <w:rsid w:val="009C58A4"/>
    <w:rsid w:val="009D37DC"/>
    <w:rsid w:val="009F1B02"/>
    <w:rsid w:val="009F4368"/>
    <w:rsid w:val="00A0122D"/>
    <w:rsid w:val="00A034CE"/>
    <w:rsid w:val="00A377F4"/>
    <w:rsid w:val="00B42341"/>
    <w:rsid w:val="00B67060"/>
    <w:rsid w:val="00B841BA"/>
    <w:rsid w:val="00B841D4"/>
    <w:rsid w:val="00BE364C"/>
    <w:rsid w:val="00C05050"/>
    <w:rsid w:val="00C51C0B"/>
    <w:rsid w:val="00C915A0"/>
    <w:rsid w:val="00D00324"/>
    <w:rsid w:val="00D17A29"/>
    <w:rsid w:val="00D31851"/>
    <w:rsid w:val="00D91A4E"/>
    <w:rsid w:val="00D97514"/>
    <w:rsid w:val="00DB39D2"/>
    <w:rsid w:val="00DE4016"/>
    <w:rsid w:val="00E47C69"/>
    <w:rsid w:val="00E52460"/>
    <w:rsid w:val="00E63D61"/>
    <w:rsid w:val="00F70FE2"/>
    <w:rsid w:val="00FF338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804C274"/>
  <w15:chartTrackingRefBased/>
  <w15:docId w15:val="{FD9C95A7-8E6C-4D64-82C0-943B29D2FF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F41A5"/>
    <w:pPr>
      <w:widowControl w:val="0"/>
    </w:pPr>
    <w:rPr>
      <w:rFonts w:ascii="Times New Roman" w:hAnsi="Times New Roman" w:cs="Times New Roman"/>
      <w:kern w:val="0"/>
      <w:sz w:val="22"/>
    </w:rPr>
  </w:style>
  <w:style w:type="paragraph" w:styleId="1">
    <w:name w:val="heading 1"/>
    <w:link w:val="10"/>
    <w:uiPriority w:val="9"/>
    <w:qFormat/>
    <w:rsid w:val="005F41A5"/>
    <w:pPr>
      <w:outlineLvl w:val="0"/>
    </w:pPr>
    <w:rPr>
      <w:rFonts w:ascii="Times New Roman" w:eastAsia="Times New Roman" w:hAnsi="Times New Roman" w:cs="Times New Roman"/>
      <w:b/>
      <w:bCs/>
      <w:color w:val="000000"/>
      <w:kern w:val="0"/>
      <w:sz w:val="26"/>
      <w:szCs w:val="26"/>
    </w:rPr>
  </w:style>
  <w:style w:type="paragraph" w:styleId="2">
    <w:name w:val="heading 2"/>
    <w:link w:val="20"/>
    <w:uiPriority w:val="9"/>
    <w:unhideWhenUsed/>
    <w:qFormat/>
    <w:rsid w:val="005F41A5"/>
    <w:pPr>
      <w:outlineLvl w:val="1"/>
    </w:pPr>
    <w:rPr>
      <w:rFonts w:ascii="Times New Roman" w:eastAsia="Times New Roman" w:hAnsi="Times New Roman" w:cs="Times New Roman"/>
      <w:b/>
      <w:bCs/>
      <w:color w:val="000000"/>
      <w:kern w:val="0"/>
      <w:sz w:val="23"/>
      <w:szCs w:val="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5F41A5"/>
    <w:rPr>
      <w:rFonts w:ascii="Times New Roman" w:eastAsia="Times New Roman" w:hAnsi="Times New Roman" w:cs="Times New Roman"/>
      <w:b/>
      <w:bCs/>
      <w:color w:val="000000"/>
      <w:kern w:val="0"/>
      <w:sz w:val="26"/>
      <w:szCs w:val="26"/>
    </w:rPr>
  </w:style>
  <w:style w:type="character" w:customStyle="1" w:styleId="20">
    <w:name w:val="標題 2 字元"/>
    <w:basedOn w:val="a0"/>
    <w:link w:val="2"/>
    <w:uiPriority w:val="9"/>
    <w:rsid w:val="005F41A5"/>
    <w:rPr>
      <w:rFonts w:ascii="Times New Roman" w:eastAsia="Times New Roman" w:hAnsi="Times New Roman" w:cs="Times New Roman"/>
      <w:b/>
      <w:bCs/>
      <w:color w:val="000000"/>
      <w:kern w:val="0"/>
      <w:sz w:val="23"/>
      <w:szCs w:val="23"/>
    </w:rPr>
  </w:style>
  <w:style w:type="character" w:styleId="a3">
    <w:name w:val="Strong"/>
    <w:basedOn w:val="a0"/>
    <w:uiPriority w:val="22"/>
    <w:qFormat/>
    <w:rsid w:val="00125665"/>
    <w:rPr>
      <w:b/>
      <w:bCs/>
    </w:rPr>
  </w:style>
  <w:style w:type="character" w:styleId="a4">
    <w:name w:val="Hyperlink"/>
    <w:basedOn w:val="a0"/>
    <w:uiPriority w:val="99"/>
    <w:unhideWhenUsed/>
    <w:rsid w:val="00125665"/>
    <w:rPr>
      <w:color w:val="0563C1" w:themeColor="hyperlink"/>
      <w:u w:val="single"/>
    </w:rPr>
  </w:style>
  <w:style w:type="character" w:styleId="a5">
    <w:name w:val="Unresolved Mention"/>
    <w:basedOn w:val="a0"/>
    <w:uiPriority w:val="99"/>
    <w:semiHidden/>
    <w:unhideWhenUsed/>
    <w:rsid w:val="00125665"/>
    <w:rPr>
      <w:color w:val="605E5C"/>
      <w:shd w:val="clear" w:color="auto" w:fill="E1DFDD"/>
    </w:rPr>
  </w:style>
  <w:style w:type="paragraph" w:styleId="a6">
    <w:name w:val="header"/>
    <w:basedOn w:val="a"/>
    <w:link w:val="a7"/>
    <w:uiPriority w:val="99"/>
    <w:unhideWhenUsed/>
    <w:rsid w:val="0032351D"/>
    <w:pPr>
      <w:tabs>
        <w:tab w:val="center" w:pos="4153"/>
        <w:tab w:val="right" w:pos="8306"/>
      </w:tabs>
      <w:snapToGrid w:val="0"/>
    </w:pPr>
    <w:rPr>
      <w:sz w:val="20"/>
      <w:szCs w:val="20"/>
    </w:rPr>
  </w:style>
  <w:style w:type="character" w:customStyle="1" w:styleId="a7">
    <w:name w:val="頁首 字元"/>
    <w:basedOn w:val="a0"/>
    <w:link w:val="a6"/>
    <w:uiPriority w:val="99"/>
    <w:rsid w:val="0032351D"/>
    <w:rPr>
      <w:rFonts w:ascii="Times New Roman" w:hAnsi="Times New Roman" w:cs="Times New Roman"/>
      <w:kern w:val="0"/>
      <w:sz w:val="20"/>
      <w:szCs w:val="20"/>
    </w:rPr>
  </w:style>
  <w:style w:type="paragraph" w:styleId="a8">
    <w:name w:val="footer"/>
    <w:basedOn w:val="a"/>
    <w:link w:val="a9"/>
    <w:uiPriority w:val="99"/>
    <w:unhideWhenUsed/>
    <w:rsid w:val="0032351D"/>
    <w:pPr>
      <w:tabs>
        <w:tab w:val="center" w:pos="4153"/>
        <w:tab w:val="right" w:pos="8306"/>
      </w:tabs>
      <w:snapToGrid w:val="0"/>
    </w:pPr>
    <w:rPr>
      <w:sz w:val="20"/>
      <w:szCs w:val="20"/>
    </w:rPr>
  </w:style>
  <w:style w:type="character" w:customStyle="1" w:styleId="a9">
    <w:name w:val="頁尾 字元"/>
    <w:basedOn w:val="a0"/>
    <w:link w:val="a8"/>
    <w:uiPriority w:val="99"/>
    <w:rsid w:val="0032351D"/>
    <w:rPr>
      <w:rFonts w:ascii="Times New Roman" w:hAnsi="Times New Roman" w:cs="Times New Roman"/>
      <w:kern w:val="0"/>
      <w:sz w:val="20"/>
      <w:szCs w:val="20"/>
    </w:rPr>
  </w:style>
  <w:style w:type="character" w:styleId="aa">
    <w:name w:val="Emphasis"/>
    <w:basedOn w:val="a0"/>
    <w:uiPriority w:val="20"/>
    <w:qFormat/>
    <w:rsid w:val="00A0122D"/>
    <w:rPr>
      <w:i/>
      <w:iCs/>
    </w:rPr>
  </w:style>
  <w:style w:type="character" w:styleId="ab">
    <w:name w:val="FollowedHyperlink"/>
    <w:basedOn w:val="a0"/>
    <w:uiPriority w:val="99"/>
    <w:semiHidden/>
    <w:unhideWhenUsed/>
    <w:rsid w:val="00802C2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80/0034340052000320887" TargetMode="External"/><Relationship Id="rId18" Type="http://schemas.openxmlformats.org/officeDocument/2006/relationships/hyperlink" Target="https://doi.org/10.1016/j.joi.2026.101808" TargetMode="External"/><Relationship Id="rId26" Type="http://schemas.openxmlformats.org/officeDocument/2006/relationships/hyperlink" Target="https://doi.org/10.1002/asi.21347" TargetMode="External"/><Relationship Id="rId39" Type="http://schemas.openxmlformats.org/officeDocument/2006/relationships/hyperlink" Target="https://doi.org/10.1162/QSS.a.400" TargetMode="External"/><Relationship Id="rId21" Type="http://schemas.openxmlformats.org/officeDocument/2006/relationships/hyperlink" Target="https://doi.org/10.1068/b35097" TargetMode="External"/><Relationship Id="rId34" Type="http://schemas.openxmlformats.org/officeDocument/2006/relationships/hyperlink" Target="https://doi.org/10.1177/0962280210395740" TargetMode="External"/><Relationship Id="rId42"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hyperlink" Target="https://doi.org/10.1007/s11192-025-05293-3" TargetMode="External"/><Relationship Id="rId20" Type="http://schemas.openxmlformats.org/officeDocument/2006/relationships/hyperlink" Target="https://doi.org/10.1016/j.joi.2009.03.005" TargetMode="External"/><Relationship Id="rId29" Type="http://schemas.openxmlformats.org/officeDocument/2006/relationships/hyperlink" Target="https://doi.org/10.3390/ijgi1020146" TargetMode="External"/><Relationship Id="rId41" Type="http://schemas.openxmlformats.org/officeDocument/2006/relationships/fontTable" Target="fontTable.xml"/><Relationship Id="rId1" Type="http://schemas.openxmlformats.org/officeDocument/2006/relationships/styles" Target="styles.xml"/><Relationship Id="rId11" Type="http://schemas.openxmlformats.org/officeDocument/2006/relationships/hyperlink" Target="https://github.com/openvenues/libpostal" TargetMode="External"/><Relationship Id="rId24" Type="http://schemas.openxmlformats.org/officeDocument/2006/relationships/hyperlink" Target="https://doi.org/10.59350/z3c5x-bfk63" TargetMode="External"/><Relationship Id="rId32" Type="http://schemas.openxmlformats.org/officeDocument/2006/relationships/hyperlink" Target="https://doi.org/10.1080/01621459.1994.10476818" TargetMode="External"/><Relationship Id="rId37" Type="http://schemas.openxmlformats.org/officeDocument/2006/relationships/hyperlink" Target="https://doi.org/10.1016/j.joi.2026.101840" TargetMode="External"/><Relationship Id="rId40" Type="http://schemas.openxmlformats.org/officeDocument/2006/relationships/hyperlink" Target="https://doi.org/10.1002/sim.3288" TargetMode="External"/><Relationship Id="rId5" Type="http://schemas.openxmlformats.org/officeDocument/2006/relationships/endnotes" Target="endnotes.xml"/><Relationship Id="rId15" Type="http://schemas.openxmlformats.org/officeDocument/2006/relationships/hyperlink" Target="https://doi.org/10.1016/j.joi.2018.05.003" TargetMode="External"/><Relationship Id="rId23" Type="http://schemas.openxmlformats.org/officeDocument/2006/relationships/hyperlink" Target="https://doi.org/10.1016/j.respol.2010.01.012" TargetMode="External"/><Relationship Id="rId28" Type="http://schemas.openxmlformats.org/officeDocument/2006/relationships/hyperlink" Target="https://doi.org/10.1007/s11192-026-05689-9" TargetMode="External"/><Relationship Id="rId36" Type="http://schemas.openxmlformats.org/officeDocument/2006/relationships/hyperlink" Target="https://doi.org/10.1016/j.joi.2011.05.003" TargetMode="External"/><Relationship Id="rId10" Type="http://schemas.openxmlformats.org/officeDocument/2006/relationships/hyperlink" Target="https://doi.org/10.1162/QSS.a.396" TargetMode="External"/><Relationship Id="rId19" Type="http://schemas.openxmlformats.org/officeDocument/2006/relationships/hyperlink" Target="https://doi.org/10.1016/j.joi.2026.101800" TargetMode="External"/><Relationship Id="rId31" Type="http://schemas.openxmlformats.org/officeDocument/2006/relationships/hyperlink" Target="https://doi.org/10.48550/arXiv.2205.01833" TargetMode="External"/><Relationship Id="rId4" Type="http://schemas.openxmlformats.org/officeDocument/2006/relationships/footnotes" Target="footnotes.xml"/><Relationship Id="rId9" Type="http://schemas.openxmlformats.org/officeDocument/2006/relationships/hyperlink" Target="https://github.com/tiger-lab-png/geocoding-failure-openalex" TargetMode="External"/><Relationship Id="rId14" Type="http://schemas.openxmlformats.org/officeDocument/2006/relationships/hyperlink" Target="https://doi.org/10.1016/j.respol.2017.08.002" TargetMode="External"/><Relationship Id="rId22" Type="http://schemas.openxmlformats.org/officeDocument/2006/relationships/hyperlink" Target="https://doi.org/10.1038/s41467-023-39698-6" TargetMode="External"/><Relationship Id="rId27" Type="http://schemas.openxmlformats.org/officeDocument/2006/relationships/hyperlink" Target="https://doi.org/10.1016/j.joi.2016.06.002" TargetMode="External"/><Relationship Id="rId30" Type="http://schemas.openxmlformats.org/officeDocument/2006/relationships/hyperlink" Target="https://doi.org/10.1186/1476-072X-4-29" TargetMode="External"/><Relationship Id="rId35" Type="http://schemas.openxmlformats.org/officeDocument/2006/relationships/hyperlink" Target="https://doi.org/10.1045/november2015-torvik" TargetMode="External"/><Relationship Id="rId3" Type="http://schemas.openxmlformats.org/officeDocument/2006/relationships/webSettings" Target="webSettings.xml"/><Relationship Id="rId12" Type="http://schemas.openxmlformats.org/officeDocument/2006/relationships/hyperlink" Target="https://doi.org/10.1371/journal.pone.0180698" TargetMode="External"/><Relationship Id="rId17" Type="http://schemas.openxmlformats.org/officeDocument/2006/relationships/hyperlink" Target="https://doi.org/10.1038/s41597-019-0264-6" TargetMode="External"/><Relationship Id="rId25" Type="http://schemas.openxmlformats.org/officeDocument/2006/relationships/hyperlink" Target="https://doi.org/10.1007/BF02018100" TargetMode="External"/><Relationship Id="rId33" Type="http://schemas.openxmlformats.org/officeDocument/2006/relationships/hyperlink" Target="https://doi.org/10.1093/biomet/63.3.581" TargetMode="External"/><Relationship Id="rId38" Type="http://schemas.openxmlformats.org/officeDocument/2006/relationships/hyperlink" Target="https://doi.org/10.1007/s11192-023-04923-y" TargetMode="External"/><Relationship Id="rId6" Type="http://schemas.openxmlformats.org/officeDocument/2006/relationships/image" Target="media/image4.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526</TotalTime>
  <Pages>14</Pages>
  <Words>6657</Words>
  <Characters>37947</Characters>
  <Application>Microsoft Office Word</Application>
  <DocSecurity>0</DocSecurity>
  <Lines>316</Lines>
  <Paragraphs>89</Paragraphs>
  <ScaleCrop>false</ScaleCrop>
  <Company/>
  <LinksUpToDate>false</LinksUpToDate>
  <CharactersWithSpaces>44515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弘佶 張</dc:creator>
  <cp:keywords/>
  <dc:description/>
  <cp:lastModifiedBy>弘佶 張</cp:lastModifiedBy>
  <cp:revision>53</cp:revision>
  <dcterms:created xsi:type="dcterms:W3CDTF">2026-08-21T08:05:00Z</dcterms:created>
  <dcterms:modified xsi:type="dcterms:W3CDTF">2026-08-21T21:58:00Z</dcterms:modified>
</cp:coreProperties>
</file>