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56" w:firstLineChars="49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投资到期统计新增七贷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因为与七贷的合作，管理台涉及七贷业务的都要在下拉框中增加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七贷选项，查询七贷相关的数据。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需求背景</w:t>
      </w:r>
    </w:p>
    <w:p>
      <w:pPr>
        <w:numPr>
          <w:ilvl w:val="0"/>
          <w:numId w:val="0"/>
        </w:numPr>
        <w:ind w:left="559" w:leftChars="266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存管产品统计（恒丰）--投资到期统计的下拉选择框中增加七贷选项，查询七贷相关的数据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业务逻辑</w:t>
      </w:r>
    </w:p>
    <w:p>
      <w:pPr>
        <w:numPr>
          <w:ilvl w:val="0"/>
          <w:numId w:val="2"/>
        </w:numPr>
        <w:ind w:left="700" w:leftChars="20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首先在模板文件invest_expire.vm 中的下拉框中增加七贷的选项，七贷对应变量partnerCode的类型名为SEVEN。</w:t>
      </w:r>
    </w:p>
    <w:p>
      <w:pPr>
        <w:numPr>
          <w:ilvl w:val="0"/>
          <w:numId w:val="2"/>
        </w:numPr>
        <w:ind w:left="700" w:leftChars="20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BsDepositionReturnMapper.xml 中查询理财回款列表investExpire，查询列表数量investExpireCount，和查询返还投资人手续费总额investExpireTotalAmount均增加partnerCode是否为SEVEN的条件判断，当partnerCode = SEVEN时，表的筛选为bs_sub_account.product_type=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AUTH_7</w:t>
      </w:r>
      <w:r>
        <w:rPr>
          <w:rFonts w:hint="default"/>
          <w:sz w:val="28"/>
          <w:szCs w:val="28"/>
          <w:lang w:val="en-US" w:eastAsia="zh-CN"/>
        </w:rPr>
        <w:t>’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2525AA"/>
    <w:multiLevelType w:val="singleLevel"/>
    <w:tmpl w:val="ED2525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BB326C"/>
    <w:multiLevelType w:val="multilevel"/>
    <w:tmpl w:val="18BB32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52C12"/>
    <w:rsid w:val="0F2E69DB"/>
    <w:rsid w:val="17EF68BB"/>
    <w:rsid w:val="322B604E"/>
    <w:rsid w:val="369A480F"/>
    <w:rsid w:val="59E04255"/>
    <w:rsid w:val="654E5585"/>
    <w:rsid w:val="6DC2609F"/>
    <w:rsid w:val="76F340D6"/>
    <w:rsid w:val="7B0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zp155</dc:creator>
  <cp:lastModifiedBy>zp155</cp:lastModifiedBy>
  <dcterms:modified xsi:type="dcterms:W3CDTF">2018-04-18T01:48:00Z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