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Check3</w:t>
      </w:r>
    </w:p>
    <w:p>
      <w:pPr>
        <w:pStyle w:val="Author"/>
      </w:pPr>
      <w:r>
        <w:t xml:space="preserve">Chen,</w:t>
      </w:r>
      <w:r>
        <w:t xml:space="preserve"> </w:t>
      </w:r>
      <w:r>
        <w:t xml:space="preserve">Xiangnan</w:t>
      </w:r>
      <w:r>
        <w:t xml:space="preserve"> </w:t>
      </w:r>
      <w:r>
        <w:t xml:space="preserve">&amp;</w:t>
      </w:r>
      <w:r>
        <w:t xml:space="preserve"> </w:t>
      </w:r>
      <w:r>
        <w:t xml:space="preserve">Cui,</w:t>
      </w:r>
      <w:r>
        <w:t xml:space="preserve"> </w:t>
      </w:r>
      <w:r>
        <w:t xml:space="preserve">Augustine</w:t>
      </w:r>
    </w:p>
    <w:p>
      <w:pPr>
        <w:pStyle w:val="Date"/>
      </w:pPr>
      <w:r>
        <w:t xml:space="preserve">2020/10/20</w:t>
      </w:r>
    </w:p>
    <w:p>
      <w:pPr>
        <w:pStyle w:val="Heading3"/>
      </w:pPr>
      <w:bookmarkStart w:id="20" w:name="introduction"/>
      <w:r>
        <w:t xml:space="preserve">Introduction</w:t>
      </w:r>
      <w:bookmarkEnd w:id="20"/>
    </w:p>
    <w:p>
      <w:pPr>
        <w:pStyle w:val="FirstParagraph"/>
      </w:pPr>
      <w:r>
        <w:t xml:space="preserve">COVID-19 is an infectious disease caused by the most recently discovered coronavirus. The disease spreads primarily from person to person through small droplets from the nose or mouth when people with COVID-19 cough, sneeze or speak [1]. The current coronavirus disease COVID-19 pandemic is hitting the globe unprecedentedly. Lives have been taken, and economic activities have been stagnated. Thus, it is crucial for people to understand better this global pandemic’s current situation and future development to be better prepared to solve this global crisis. In this report, we are using COVID-19 data gathered in the United States to check if there is a relationship between date and cumulative cases.</w:t>
      </w:r>
    </w:p>
    <w:p>
      <w:pPr>
        <w:pStyle w:val="Heading3"/>
      </w:pPr>
      <w:bookmarkStart w:id="21" w:name="background"/>
      <w:r>
        <w:t xml:space="preserve">Background</w:t>
      </w:r>
      <w:bookmarkEnd w:id="21"/>
    </w:p>
    <w:p>
      <w:pPr>
        <w:pStyle w:val="FirstParagraph"/>
      </w:pPr>
      <w:r>
        <w:t xml:space="preserve">Among all the studies that focus on COVID-19, we find three sources interesting. The first is CDC’s weekly report that gives an overview of the COVID-19 related hospitalizations and deaths. The data from Utah analyzes the relationship between COVID-19 cases, hospitalization, and testing with the deprivation level in different areas within Utah. The third research focuses on the Age distribution of the COVID-19 pandemic.</w:t>
      </w:r>
    </w:p>
    <w:p>
      <w:pPr>
        <w:pStyle w:val="BodyText"/>
      </w:pPr>
      <w:r>
        <w:t xml:space="preserve">The CDC report focuses on the relationship between COVID-19 related hospitalizations and mortality. It also includes categorical variables like age and race. The overall cumulative COVID-19 hospitalization rate is 174.8 per 100,000, with the highest rates in people aged 65 years and older (472.3 per 100,000) and 50–64 years (261.5 per 100,000).[2] The second report analyzes COVID-19 Data from the Utah Department of Health. It examines the relationship between cases and hospitalization, the relationship between testing and the level of deprivation. The report shows that the infection number of Utah’s high-deprivation areas is three times higher than the lower-deprivation areas, so does hospitalization and testing rates[3]. The third research focuses on the relationship between COVID-19 and ages. The source researches the relationship of incidence between each age group. It also calculates the weekly median age of people with COVID-19. The research shows that the distribution centers at age group from 20-39 years, which means that younger adults are more likely to contribute to community transmission of COVID-19[4].</w:t>
      </w:r>
    </w:p>
    <w:p>
      <w:pPr>
        <w:pStyle w:val="BodyText"/>
      </w:pPr>
      <w:r>
        <w:t xml:space="preserve">Our approach to COVID-19 is to analyzes the relationship between the overall cumulative number of cases and the CDC report date. Different from the previous studies, we are using the cumulative number of cases. We believe that using the cumulative number can offer better interpretability when constructing a model with date (Time series data).</w:t>
      </w:r>
    </w:p>
    <w:p>
      <w:pPr>
        <w:pStyle w:val="Heading3"/>
      </w:pPr>
      <w:bookmarkStart w:id="22" w:name="data"/>
      <w:r>
        <w:t xml:space="preserve">Data</w:t>
      </w:r>
      <w:bookmarkEnd w:id="22"/>
    </w:p>
    <w:p>
      <w:pPr>
        <w:pStyle w:val="FirstParagraph"/>
      </w:pPr>
      <w:r>
        <w:t xml:space="preserve">There are three quntitative variables</w:t>
      </w:r>
      <w:r>
        <w:t xml:space="preserve"> </w:t>
      </w:r>
      <w:r>
        <w:t xml:space="preserve">‘</w:t>
      </w:r>
      <w:r>
        <w:t xml:space="preserve">cdc_report_dt</w:t>
      </w:r>
      <w:r>
        <w:t xml:space="preserve">’</w:t>
      </w:r>
      <w:r>
        <w:t xml:space="preserve">,</w:t>
      </w:r>
      <w:r>
        <w:t xml:space="preserve"> </w:t>
      </w:r>
      <w:r>
        <w:t xml:space="preserve">‘</w:t>
      </w:r>
      <w:r>
        <w:t xml:space="preserve">pos_spec_dt</w:t>
      </w:r>
      <w:r>
        <w:t xml:space="preserve">’</w:t>
      </w:r>
      <w:r>
        <w:t xml:space="preserve"> </w:t>
      </w:r>
      <w:r>
        <w:t xml:space="preserve">and</w:t>
      </w:r>
      <w:r>
        <w:t xml:space="preserve"> </w:t>
      </w:r>
      <w:r>
        <w:t xml:space="preserve">‘</w:t>
      </w:r>
      <w:r>
        <w:t xml:space="preserve">onset_dt</w:t>
      </w:r>
      <w:r>
        <w:t xml:space="preserve">’</w:t>
      </w:r>
      <w:r>
        <w:t xml:space="preserve">. Thhere are eight categorical varaiables</w:t>
      </w:r>
      <w:r>
        <w:t xml:space="preserve"> </w:t>
      </w:r>
      <w:r>
        <w:t xml:space="preserve">‘</w:t>
      </w:r>
      <w:r>
        <w:t xml:space="preserve">current_status</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age_group</w:t>
      </w:r>
      <w:r>
        <w:t xml:space="preserve">’</w:t>
      </w:r>
      <w:r>
        <w:t xml:space="preserve">,</w:t>
      </w:r>
      <w:r>
        <w:t xml:space="preserve"> </w:t>
      </w:r>
      <w:r>
        <w:t xml:space="preserve">‘</w:t>
      </w:r>
      <w:r>
        <w:t xml:space="preserve">Race.and.ethnicity..combined</w:t>
      </w:r>
      <w:r>
        <w:t xml:space="preserve">’</w:t>
      </w:r>
      <w:r>
        <w:t xml:space="preserve">,</w:t>
      </w:r>
      <w:r>
        <w:t xml:space="preserve">‘</w:t>
      </w:r>
      <w:r>
        <w:t xml:space="preserve">hosp_yn</w:t>
      </w:r>
      <w:r>
        <w:t xml:space="preserve">’</w:t>
      </w:r>
      <w:r>
        <w:t xml:space="preserve">,</w:t>
      </w:r>
      <w:r>
        <w:t xml:space="preserve"> </w:t>
      </w:r>
      <w:r>
        <w:t xml:space="preserve">‘</w:t>
      </w:r>
      <w:r>
        <w:t xml:space="preserve">icu_yn</w:t>
      </w:r>
      <w:r>
        <w:t xml:space="preserve">’</w:t>
      </w:r>
      <w:r>
        <w:t xml:space="preserve"> </w:t>
      </w:r>
      <w:r>
        <w:t xml:space="preserve">,</w:t>
      </w:r>
      <w:r>
        <w:t xml:space="preserve">‘</w:t>
      </w:r>
      <w:r>
        <w:t xml:space="preserve">death_yn</w:t>
      </w:r>
      <w:r>
        <w:t xml:space="preserve">’</w:t>
      </w:r>
      <w:r>
        <w:t xml:space="preserve"> </w:t>
      </w:r>
      <w:r>
        <w:t xml:space="preserve">and</w:t>
      </w:r>
      <w:r>
        <w:t xml:space="preserve"> </w:t>
      </w:r>
      <w:r>
        <w:t xml:space="preserve">‘</w:t>
      </w:r>
      <w:r>
        <w:t xml:space="preserve">medcond_yn</w:t>
      </w:r>
      <w:r>
        <w:t xml:space="preserve">’</w:t>
      </w:r>
      <w:r>
        <w:t xml:space="preserve">. Dsecription of each variable is in the Appendix.</w:t>
      </w:r>
    </w:p>
    <w:p>
      <w:pPr>
        <w:pStyle w:val="BodyText"/>
      </w:pPr>
      <w:r>
        <w:t xml:space="preserve">There are observations and each observation contians variables.</w:t>
      </w:r>
    </w:p>
    <w:p>
      <w:pPr>
        <w:pStyle w:val="SourceCode"/>
      </w:pPr>
      <w:r>
        <w:rPr>
          <w:rStyle w:val="NormalTok"/>
        </w:rPr>
        <w:t xml:space="preserve">cov &lt;-</w:t>
      </w:r>
      <w:r>
        <w:rPr>
          <w:rStyle w:val="StringTok"/>
        </w:rPr>
        <w:t xml:space="preserve"> </w:t>
      </w:r>
      <w:r>
        <w:rPr>
          <w:rStyle w:val="KeywordTok"/>
        </w:rPr>
        <w:t xml:space="preserve">read.csv</w:t>
      </w:r>
      <w:r>
        <w:rPr>
          <w:rStyle w:val="NormalTok"/>
        </w:rPr>
        <w:t xml:space="preserve">(</w:t>
      </w:r>
      <w:r>
        <w:rPr>
          <w:rStyle w:val="StringTok"/>
        </w:rPr>
        <w:t xml:space="preserve">"COVID-19_Case_Surveillance_Public_Use_Data.csv"</w:t>
      </w:r>
      <w:r>
        <w:rPr>
          <w:rStyle w:val="NormalTok"/>
        </w:rPr>
        <w:t xml:space="preserve">)</w:t>
      </w:r>
    </w:p>
    <w:p>
      <w:pPr>
        <w:pStyle w:val="SourceCode"/>
      </w:pPr>
      <w:r>
        <w:rPr>
          <w:rStyle w:val="NormalTok"/>
        </w:rPr>
        <w:t xml:space="preserve">reportDate &lt;-</w:t>
      </w:r>
      <w:r>
        <w:rPr>
          <w:rStyle w:val="StringTok"/>
        </w:rPr>
        <w:t xml:space="preserve"> </w:t>
      </w:r>
      <w:r>
        <w:rPr>
          <w:rStyle w:val="KeywordTok"/>
        </w:rPr>
        <w:t xml:space="preserve">unique</w:t>
      </w:r>
      <w:r>
        <w:rPr>
          <w:rStyle w:val="NormalTok"/>
        </w:rPr>
        <w:t xml:space="preserve">(cov</w:t>
      </w:r>
      <w:r>
        <w:rPr>
          <w:rStyle w:val="OperatorTok"/>
        </w:rPr>
        <w:t xml:space="preserve">$</w:t>
      </w:r>
      <w:r>
        <w:rPr>
          <w:rStyle w:val="NormalTok"/>
        </w:rPr>
        <w:t xml:space="preserve">cdc_report_dt)</w:t>
      </w:r>
      <w:r>
        <w:br/>
      </w:r>
      <w:r>
        <w:rPr>
          <w:rStyle w:val="NormalTok"/>
        </w:rPr>
        <w:t xml:space="preserve">case_date &lt;-</w:t>
      </w:r>
      <w:r>
        <w:rPr>
          <w:rStyle w:val="StringTok"/>
        </w:rPr>
        <w:t xml:space="preserve"> </w:t>
      </w:r>
      <w:r>
        <w:rPr>
          <w:rStyle w:val="KeywordTok"/>
        </w:rPr>
        <w:t xml:space="preserve">count</w:t>
      </w:r>
      <w:r>
        <w:rPr>
          <w:rStyle w:val="NormalTok"/>
        </w:rPr>
        <w:t xml:space="preserve">(cov, cov</w:t>
      </w:r>
      <w:r>
        <w:rPr>
          <w:rStyle w:val="OperatorTok"/>
        </w:rPr>
        <w:t xml:space="preserve">$</w:t>
      </w:r>
      <w:r>
        <w:rPr>
          <w:rStyle w:val="NormalTok"/>
        </w:rPr>
        <w:t xml:space="preserve">cdc_report_dt)</w:t>
      </w:r>
      <w:r>
        <w:br/>
      </w:r>
      <w:r>
        <w:rPr>
          <w:rStyle w:val="NormalTok"/>
        </w:rPr>
        <w:t xml:space="preserve">case_date</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(case_date</w:t>
      </w:r>
      <w:r>
        <w:rPr>
          <w:rStyle w:val="OperatorTok"/>
        </w:rPr>
        <w:t xml:space="preserve">$</w:t>
      </w:r>
      <w:r>
        <w:rPr>
          <w:rStyle w:val="StringTok"/>
        </w:rPr>
        <w:t xml:space="preserve">`</w:t>
      </w:r>
      <w:r>
        <w:rPr>
          <w:rStyle w:val="DataTypeTok"/>
        </w:rPr>
        <w:t xml:space="preserve">cov$cdc_report_dt</w:t>
      </w:r>
      <w:r>
        <w:rPr>
          <w:rStyle w:val="StringTok"/>
        </w:rPr>
        <w:t xml:space="preserve">`</w:t>
      </w:r>
      <w:r>
        <w:rPr>
          <w:rStyle w:val="NormalTok"/>
        </w:rPr>
        <w:t xml:space="preserve">)</w:t>
      </w:r>
      <w:r>
        <w:br/>
      </w:r>
      <w:r>
        <w:rPr>
          <w:rStyle w:val="NormalTok"/>
        </w:rPr>
        <w:t xml:space="preserve">case_date</w:t>
      </w:r>
      <w:r>
        <w:rPr>
          <w:rStyle w:val="OperatorTok"/>
        </w:rPr>
        <w:t xml:space="preserve">$</w:t>
      </w:r>
      <w:r>
        <w:rPr>
          <w:rStyle w:val="NormalTok"/>
        </w:rPr>
        <w:t xml:space="preserve">date &lt;-</w:t>
      </w:r>
      <w:r>
        <w:rPr>
          <w:rStyle w:val="StringTok"/>
        </w:rPr>
        <w:t xml:space="preserve"> </w:t>
      </w:r>
      <w:r>
        <w:rPr>
          <w:rStyle w:val="NormalTok"/>
        </w:rPr>
        <w:t xml:space="preserve">case_date</w:t>
      </w:r>
      <w:r>
        <w:rPr>
          <w:rStyle w:val="OperatorTok"/>
        </w:rPr>
        <w:t xml:space="preserve">$</w:t>
      </w:r>
      <w:r>
        <w:rPr>
          <w:rStyle w:val="NormalTok"/>
        </w:rPr>
        <w:t xml:space="preserve">date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"2020-01-01"</w:t>
      </w:r>
      <w:r>
        <w:rPr>
          <w:rStyle w:val="NormalTok"/>
        </w:rPr>
        <w:t xml:space="preserve">)</w:t>
      </w:r>
      <w:r>
        <w:br/>
      </w:r>
      <w:r>
        <w:rPr>
          <w:rStyle w:val="NormalTok"/>
        </w:rPr>
        <w:t xml:space="preserve">case_date</w:t>
      </w:r>
      <w:r>
        <w:rPr>
          <w:rStyle w:val="OperatorTok"/>
        </w:rPr>
        <w:t xml:space="preserve">$</w:t>
      </w:r>
      <w:r>
        <w:rPr>
          <w:rStyle w:val="NormalTok"/>
        </w:rPr>
        <w:t xml:space="preserve">cum_case &lt;-</w:t>
      </w:r>
      <w:r>
        <w:rPr>
          <w:rStyle w:val="StringTok"/>
        </w:rPr>
        <w:t xml:space="preserve"> </w:t>
      </w:r>
      <w:r>
        <w:rPr>
          <w:rStyle w:val="KeywordTok"/>
        </w:rPr>
        <w:t xml:space="preserve">cumsum</w:t>
      </w:r>
      <w:r>
        <w:rPr>
          <w:rStyle w:val="NormalTok"/>
        </w:rPr>
        <w:t xml:space="preserve">(case_date</w:t>
      </w:r>
      <w:r>
        <w:rPr>
          <w:rStyle w:val="OperatorTok"/>
        </w:rPr>
        <w:t xml:space="preserve">$</w:t>
      </w:r>
      <w:r>
        <w:rPr>
          <w:rStyle w:val="NormalTok"/>
        </w:rPr>
        <w:t xml:space="preserve">n)</w:t>
      </w:r>
    </w:p>
    <w:p>
      <w:pPr>
        <w:pStyle w:val="SourceCode"/>
      </w:pPr>
      <w:r>
        <w:rPr>
          <w:rStyle w:val="KeywordTok"/>
        </w:rPr>
        <w:t xml:space="preserve">plot</w:t>
      </w:r>
      <w:r>
        <w:rPr>
          <w:rStyle w:val="NormalTok"/>
        </w:rPr>
        <w:t xml:space="preserve">(case_date</w:t>
      </w:r>
      <w:r>
        <w:rPr>
          <w:rStyle w:val="OperatorTok"/>
        </w:rPr>
        <w:t xml:space="preserve">$</w:t>
      </w:r>
      <w:r>
        <w:rPr>
          <w:rStyle w:val="NormalTok"/>
        </w:rPr>
        <w:t xml:space="preserve">date,case_date</w:t>
      </w:r>
      <w:r>
        <w:rPr>
          <w:rStyle w:val="OperatorTok"/>
        </w:rPr>
        <w:t xml:space="preserve">$</w:t>
      </w:r>
      <w:r>
        <w:rPr>
          <w:rStyle w:val="NormalTok"/>
        </w:rPr>
        <w:t xml:space="preserve">cum_case,</w:t>
      </w:r>
      <w:r>
        <w:rPr>
          <w:rStyle w:val="DataTypeTok"/>
        </w:rPr>
        <w:t xml:space="preserve">xlab=</w:t>
      </w:r>
      <w:r>
        <w:rPr>
          <w:rStyle w:val="StringTok"/>
        </w:rPr>
        <w:t xml:space="preserve">"Case report date to CDC (0 as first date 2020-01-01)"</w:t>
      </w:r>
      <w:r>
        <w:rPr>
          <w:rStyle w:val="NormalTok"/>
        </w:rPr>
        <w:t xml:space="preserve">,</w:t>
      </w:r>
      <w:r>
        <w:rPr>
          <w:rStyle w:val="DataTypeTok"/>
        </w:rPr>
        <w:t xml:space="preserve">ylab=</w:t>
      </w:r>
      <w:r>
        <w:rPr>
          <w:rStyle w:val="StringTok"/>
        </w:rPr>
        <w:t xml:space="preserve">"culmulative Covid case number"</w:t>
      </w:r>
      <w:r>
        <w:rPr>
          <w:rStyle w:val="NormalTok"/>
        </w:rPr>
        <w:t xml:space="preserve">, </w:t>
      </w:r>
      <w:r>
        <w:rPr>
          <w:rStyle w:val="DataTypeTok"/>
        </w:rPr>
        <w:t xml:space="preserve">main=</w:t>
      </w:r>
      <w:r>
        <w:rPr>
          <w:rStyle w:val="StringTok"/>
        </w:rPr>
        <w:t xml:space="preserve">" Culmulative Covid case number and CDC report date"</w:t>
      </w:r>
      <w:r>
        <w:rPr>
          <w:rStyle w:val="NormalTok"/>
        </w:rPr>
        <w:t xml:space="preserve">)</w:t>
      </w:r>
    </w:p>
    <w:p>
      <w:pPr>
        <w:pStyle w:val="FirstParagraph"/>
      </w:pPr>
      <w:r>
        <w:drawing>
          <wp:inline>
            <wp:extent cx="5334000" cy="3294856"/>
            <wp:effectExtent b="0" l="0" r="0" t="0"/>
            <wp:docPr descr="" title="" id="1" name="Picture"/>
            <a:graphic>
              <a:graphicData uri="http://schemas.openxmlformats.org/drawingml/2006/picture">
                <pic:pic>
                  <pic:nvPicPr>
                    <pic:cNvPr descr="COVID-Check3_files/figure-docx/unnamed-chunk-3-1.png" id="0" name="Picture"/>
                    <pic:cNvPicPr>
                      <a:picLocks noChangeArrowheads="1" noChangeAspect="1"/>
                    </pic:cNvPicPr>
                  </pic:nvPicPr>
                  <pic:blipFill>
                    <a:blip r:embed="rId23"/>
                    <a:stretch>
                      <a:fillRect/>
                    </a:stretch>
                  </pic:blipFill>
                  <pic:spPr bwMode="auto">
                    <a:xfrm>
                      <a:off x="0" y="0"/>
                      <a:ext cx="5334000" cy="3294856"/>
                    </a:xfrm>
                    <a:prstGeom prst="rect">
                      <a:avLst/>
                    </a:prstGeom>
                    <a:noFill/>
                    <a:ln w="9525">
                      <a:noFill/>
                      <a:headEnd/>
                      <a:tailEnd/>
                    </a:ln>
                  </pic:spPr>
                </pic:pic>
              </a:graphicData>
            </a:graphic>
          </wp:inline>
        </w:drawing>
      </w:r>
    </w:p>
    <w:p>
      <w:pPr>
        <w:pStyle w:val="BodyText"/>
      </w:pPr>
      <w:r>
        <w:t xml:space="preserve">There is a strong positive nonlinear relationship between the CDC report date and cumulative Covid case number. We can see that among the first 80 dates–there are very few cases reported to CDC. After the 100th day, there is a strong linear relationship between the CDC report date and cumulative Covid case number. To our surprise, there is not an obvious trend showing an increase in slope. In contrast, it is rather linear after the 100th day.</w:t>
      </w:r>
    </w:p>
    <w:p>
      <w:pPr>
        <w:pStyle w:val="BodyText"/>
      </w:pPr>
      <w:r>
        <w:t xml:space="preserve">We are not using</w:t>
      </w:r>
      <w:r>
        <w:t xml:space="preserve"> </w:t>
      </w:r>
      <w:r>
        <w:t xml:space="preserve">‘</w:t>
      </w:r>
      <w:r>
        <w:t xml:space="preserve">’pos_spec_dt</w:t>
      </w:r>
      <w:r>
        <w:t xml:space="preserve">’</w:t>
      </w:r>
      <w:r>
        <w:t xml:space="preserve"> </w:t>
      </w:r>
      <w:r>
        <w:t xml:space="preserve">and</w:t>
      </w:r>
      <w:r>
        <w:t xml:space="preserve"> </w:t>
      </w:r>
      <w:r>
        <w:t xml:space="preserve">‘</w:t>
      </w:r>
      <w:r>
        <w:t xml:space="preserve">onset_dt,</w:t>
      </w:r>
      <w:r>
        <w:t xml:space="preserve">’</w:t>
      </w:r>
      <w:r>
        <w:t xml:space="preserve"> </w:t>
      </w:r>
      <w:r>
        <w:t xml:space="preserve">because we specifically choose to use the CDC report date as our predictor variable.</w:t>
      </w:r>
      <w:r>
        <w:t xml:space="preserve"> </w:t>
      </w:r>
      <w:r>
        <w:t xml:space="preserve">We are currently not using any categorical variables within our model because we want first to see the relationship between the case number and the CDC report date.</w:t>
      </w:r>
    </w:p>
    <w:p>
      <w:pPr>
        <w:pStyle w:val="Heading3"/>
      </w:pPr>
      <w:bookmarkStart w:id="24" w:name="references"/>
      <w:r>
        <w:t xml:space="preserve">References</w:t>
      </w:r>
      <w:bookmarkEnd w:id="24"/>
    </w:p>
    <w:p>
      <w:pPr>
        <w:pStyle w:val="FirstParagraph"/>
      </w:pPr>
      <w:r>
        <w:t xml:space="preserve">[1] Q&amp;A on coronaviruses (COVID-19)</w:t>
      </w:r>
      <w:r>
        <w:t xml:space="preserve"> </w:t>
      </w:r>
      <w:hyperlink r:id="rId25">
        <w:r>
          <w:rPr>
            <w:rStyle w:val="Hyperlink"/>
          </w:rPr>
          <w:t xml:space="preserve">https://www.who.int/emergencies/diseases/novel-coronavirus-2019/question-and-answers-hub/q-a-detail/q-a-coronaviruses</w:t>
        </w:r>
      </w:hyperlink>
    </w:p>
    <w:p>
      <w:pPr>
        <w:pStyle w:val="BodyText"/>
      </w:pPr>
      <w:r>
        <w:t xml:space="preserve">[2]</w:t>
      </w:r>
      <w:r>
        <w:t xml:space="preserve"> </w:t>
      </w:r>
      <w:r>
        <w:t xml:space="preserve">“</w:t>
      </w:r>
      <w:r>
        <w:t xml:space="preserve">COVIDView: A Weekly Surveillance Summary of U.S. COVID-19 Activity,</w:t>
      </w:r>
      <w:r>
        <w:t xml:space="preserve">”</w:t>
      </w:r>
      <w:r>
        <w:t xml:space="preserve"> </w:t>
      </w:r>
      <w:r>
        <w:t xml:space="preserve">Centers for Disease Control and Prevention. [Online]. Available:</w:t>
      </w:r>
      <w:r>
        <w:t xml:space="preserve"> </w:t>
      </w:r>
      <w:hyperlink r:id="rId26">
        <w:r>
          <w:rPr>
            <w:rStyle w:val="Hyperlink"/>
          </w:rPr>
          <w:t xml:space="preserve">https://www.cdc.gov/coronavirus/2019-ncov/covid-data/covidview/index.html</w:t>
        </w:r>
      </w:hyperlink>
      <w:r>
        <w:t xml:space="preserve">. [Accessed: 28-Sep-2020].</w:t>
      </w:r>
    </w:p>
    <w:p>
      <w:pPr>
        <w:pStyle w:val="BodyText"/>
      </w:pPr>
      <w:r>
        <w:t xml:space="preserve">[3] Lewis NM, Friedrichs M, Wagstaff S, et al. Disparities in COVID-19 Incidence, Hospitalizations, and Testing, by Area-Level Deprivation — Utah, March 3–July 9, 2020. MMWR Morb Mortal Wkly Rep 2020;69:1369–1373. DOI:</w:t>
      </w:r>
      <w:r>
        <w:t xml:space="preserve"> </w:t>
      </w:r>
      <w:hyperlink r:id="rId27">
        <w:r>
          <w:rPr>
            <w:rStyle w:val="Hyperlink"/>
          </w:rPr>
          <w:t xml:space="preserve">http://dx.doi.org/10.15585/mmwr.mm6938a4external</w:t>
        </w:r>
      </w:hyperlink>
      <w:r>
        <w:t xml:space="preserve"> </w:t>
      </w:r>
      <w:r>
        <w:t xml:space="preserve">icon</w:t>
      </w:r>
    </w:p>
    <w:p>
      <w:pPr>
        <w:pStyle w:val="BodyText"/>
      </w:pPr>
      <w:r>
        <w:t xml:space="preserve">[4] Boehmer TK, DeVies J, Caruso E, et al. Changing Age Distribution of the COVID-19 Pandemic — United States, May–August 2020. MMWR Morb Mortal Wkly Rep. ePub: 23 September 2020. DOI:</w:t>
      </w:r>
      <w:r>
        <w:t xml:space="preserve"> </w:t>
      </w:r>
      <w:hyperlink r:id="rId28">
        <w:r>
          <w:rPr>
            <w:rStyle w:val="Hyperlink"/>
          </w:rPr>
          <w:t xml:space="preserve">http://dx.doi.org/10.15585/mmwr.mm6939e1external</w:t>
        </w:r>
      </w:hyperlink>
      <w:r>
        <w:t xml:space="preserve"> </w:t>
      </w:r>
      <w:r>
        <w:t xml:space="preserve">icon.</w:t>
      </w:r>
    </w:p>
    <w:p>
      <w:pPr>
        <w:pStyle w:val="BodyText"/>
      </w:pPr>
      <w:r>
        <w:t xml:space="preserve">[5] Centers for Disease Control and Prevention. COVID-19 Case Surveillance Public Use Data, September 30, 2020</w:t>
      </w:r>
      <w:r>
        <w:t xml:space="preserve"> </w:t>
      </w:r>
      <w:hyperlink r:id="rId29">
        <w:r>
          <w:rPr>
            <w:rStyle w:val="Hyperlink"/>
          </w:rPr>
          <w:t xml:space="preserve">https://data.cdc.gov/Case-Surveillance/COVID-19-Case-Surveillance-Public-Use-Data/vbim-akqf</w:t>
        </w:r>
      </w:hyperlink>
    </w:p>
    <w:p>
      <w:pPr>
        <w:pStyle w:val="Heading3"/>
      </w:pPr>
      <w:bookmarkStart w:id="30" w:name="appendix"/>
      <w:r>
        <w:t xml:space="preserve">Appendix</w:t>
      </w:r>
      <w:bookmarkEnd w:id="30"/>
    </w:p>
    <w:tbl>
      <w:tblPr>
        <w:tblStyle w:val="Table"/>
        <w:tblW w:type="pct" w:w="5000.0"/>
        <w:tblLook w:firstRow="1"/>
      </w:tblPr>
      <w:tblGrid>
        <w:gridCol w:w="800"/>
        <w:gridCol w:w="6480"/>
        <w:gridCol w:w="640"/>
      </w:tblGrid>
      <w:tr>
        <w:trPr>
          <w:cnfStyle w:firstRow="1"/>
        </w:trPr>
        <w:tc>
          <w:tcPr>
            <w:tcBorders>
              <w:bottom w:val="single"/>
            </w:tcBorders>
            <w:vAlign w:val="bottom"/>
          </w:tcPr>
          <w:p>
            <w:pPr>
              <w:pStyle w:val="Compact"/>
              <w:jc w:val="left"/>
            </w:pPr>
            <w:r>
              <w:t xml:space="preserve">Column.names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Type</w:t>
            </w:r>
          </w:p>
        </w:tc>
      </w:tr>
      <w:tr>
        <w:tc>
          <w:p>
            <w:pPr>
              <w:pStyle w:val="Compact"/>
              <w:jc w:val="left"/>
            </w:pPr>
            <w:r>
              <w:t xml:space="preserve">cdc_report_dt</w:t>
            </w:r>
          </w:p>
        </w:tc>
        <w:tc>
          <w:p>
            <w:pPr>
              <w:pStyle w:val="Compact"/>
              <w:jc w:val="left"/>
            </w:pPr>
            <w:r>
              <w:t xml:space="preserve">Initial case report date to CDC</w:t>
            </w:r>
          </w:p>
        </w:tc>
        <w:tc>
          <w:p>
            <w:pPr>
              <w:pStyle w:val="Compact"/>
              <w:jc w:val="left"/>
            </w:pPr>
            <w:r>
              <w:t xml:space="preserve">Quantative: Date &amp; Time</w:t>
            </w:r>
          </w:p>
        </w:tc>
      </w:tr>
      <w:tr>
        <w:tc>
          <w:p>
            <w:pPr>
              <w:pStyle w:val="Compact"/>
              <w:jc w:val="left"/>
            </w:pPr>
            <w:r>
              <w:t xml:space="preserve">pos_spec_dt</w:t>
            </w:r>
          </w:p>
        </w:tc>
        <w:tc>
          <w:p>
            <w:pPr>
              <w:pStyle w:val="Compact"/>
              <w:jc w:val="left"/>
            </w:pPr>
            <w:r>
              <w:t xml:space="preserve">Date of first positive specimen collection</w:t>
            </w:r>
          </w:p>
        </w:tc>
        <w:tc>
          <w:p>
            <w:pPr>
              <w:pStyle w:val="Compact"/>
              <w:jc w:val="left"/>
            </w:pPr>
            <w:r>
              <w:t xml:space="preserve">Quantative: Date &amp; Time</w:t>
            </w:r>
          </w:p>
        </w:tc>
      </w:tr>
      <w:tr>
        <w:tc>
          <w:p>
            <w:pPr>
              <w:pStyle w:val="Compact"/>
              <w:jc w:val="left"/>
            </w:pPr>
            <w:r>
              <w:t xml:space="preserve">onset_dt</w:t>
            </w:r>
          </w:p>
        </w:tc>
        <w:tc>
          <w:p>
            <w:pPr>
              <w:pStyle w:val="Compact"/>
              <w:jc w:val="left"/>
            </w:pPr>
            <w:r>
              <w:t xml:space="preserve">Symptom onset date, if symptomatic</w:t>
            </w:r>
          </w:p>
        </w:tc>
        <w:tc>
          <w:p>
            <w:pPr>
              <w:pStyle w:val="Compact"/>
              <w:jc w:val="left"/>
            </w:pPr>
            <w:r>
              <w:t xml:space="preserve">Quantative: Date &amp; Time</w:t>
            </w:r>
          </w:p>
        </w:tc>
      </w:tr>
      <w:tr>
        <w:tc>
          <w:p>
            <w:pPr>
              <w:pStyle w:val="Compact"/>
              <w:jc w:val="left"/>
            </w:pPr>
            <w:r>
              <w:t xml:space="preserve">current_status</w:t>
            </w:r>
          </w:p>
        </w:tc>
        <w:tc>
          <w:p>
            <w:pPr>
              <w:pStyle w:val="Compact"/>
              <w:jc w:val="left"/>
            </w:pPr>
            <w:r>
              <w:t xml:space="preserve">Case Status: Laboratory-confirmed case; Probable case</w:t>
            </w:r>
          </w:p>
        </w:tc>
        <w:tc>
          <w:p>
            <w:pPr>
              <w:pStyle w:val="Compact"/>
              <w:jc w:val="left"/>
            </w:pPr>
            <w:r>
              <w:t xml:space="preserve">Categorical: Text</w:t>
            </w:r>
          </w:p>
        </w:tc>
      </w:tr>
      <w:tr>
        <w:tc>
          <w:p>
            <w:pPr>
              <w:pStyle w:val="Compact"/>
              <w:jc w:val="left"/>
            </w:pPr>
            <w:r>
              <w:t xml:space="preserve">sex</w:t>
            </w:r>
          </w:p>
        </w:tc>
        <w:tc>
          <w:p>
            <w:pPr>
              <w:pStyle w:val="Compact"/>
              <w:jc w:val="left"/>
            </w:pPr>
            <w:r>
              <w:t xml:space="preserve">Sex: Male; Female</w:t>
            </w:r>
          </w:p>
        </w:tc>
        <w:tc>
          <w:p>
            <w:pPr>
              <w:pStyle w:val="Compact"/>
              <w:jc w:val="left"/>
            </w:pPr>
            <w:r>
              <w:t xml:space="preserve">Categorical: Text</w:t>
            </w:r>
          </w:p>
        </w:tc>
      </w:tr>
      <w:tr>
        <w:tc>
          <w:p>
            <w:pPr>
              <w:pStyle w:val="Compact"/>
              <w:jc w:val="left"/>
            </w:pPr>
            <w:r>
              <w:t xml:space="preserve">age_group</w:t>
            </w:r>
          </w:p>
        </w:tc>
        <w:tc>
          <w:p>
            <w:pPr>
              <w:pStyle w:val="Compact"/>
              <w:jc w:val="left"/>
            </w:pPr>
            <w:r>
              <w:t xml:space="preserve">Age Group: 0 - 9 Years; 10 - 19 Years; 20 - 39 Years; 40 - 49 Years; 50 - 59 Years; 60 - 69 Years; 70 - 79 Years;</w:t>
            </w:r>
          </w:p>
        </w:tc>
        <w:tc>
          <w:p/>
        </w:tc>
      </w:tr>
      <w:tr>
        <w:tc>
          <w:p>
            <w:pPr>
              <w:pStyle w:val="Compact"/>
              <w:jc w:val="left"/>
            </w:pPr>
            <w:r>
              <w:t xml:space="preserve">80 + Years</w:t>
            </w:r>
          </w:p>
        </w:tc>
        <w:tc>
          <w:p>
            <w:pPr>
              <w:pStyle w:val="Compact"/>
              <w:jc w:val="left"/>
            </w:pPr>
            <w:r>
              <w:t xml:space="preserve">Categorical: Text</w:t>
            </w:r>
          </w:p>
        </w:tc>
        <w:tc>
          <w:p/>
        </w:tc>
      </w:tr>
      <w:tr>
        <w:tc>
          <w:p>
            <w:pPr>
              <w:pStyle w:val="Compact"/>
              <w:jc w:val="left"/>
            </w:pPr>
            <w:r>
              <w:t xml:space="preserve">Race and ethnicity (combined)</w:t>
            </w:r>
          </w:p>
        </w:tc>
        <w:tc>
          <w:p>
            <w:pPr>
              <w:pStyle w:val="Compact"/>
              <w:jc w:val="left"/>
            </w:pPr>
            <w:r>
              <w:t xml:space="preserve">Race and ethnicity (combined): Hispanic/Latino; American Indian / Alaska Native, Non-Hispanic; Asian, Non-Hispanic; Black, Non-Hispanic; Native Hawaiian / Other Pacific Islander, Non-Hispanic; White, Non-Hispanic; Multiple/Other, Non-Hispanic</w:t>
            </w:r>
          </w:p>
        </w:tc>
        <w:tc>
          <w:p>
            <w:pPr>
              <w:pStyle w:val="Compact"/>
              <w:jc w:val="left"/>
            </w:pPr>
            <w:r>
              <w:t xml:space="preserve">Categorical: Text</w:t>
            </w:r>
          </w:p>
        </w:tc>
      </w:tr>
      <w:tr>
        <w:tc>
          <w:p>
            <w:pPr>
              <w:pStyle w:val="Compact"/>
              <w:jc w:val="left"/>
            </w:pPr>
            <w:r>
              <w:t xml:space="preserve">hosp_yn</w:t>
            </w:r>
          </w:p>
        </w:tc>
        <w:tc>
          <w:p>
            <w:pPr>
              <w:pStyle w:val="Compact"/>
              <w:jc w:val="left"/>
            </w:pPr>
            <w:r>
              <w:t xml:space="preserve">Hospitalization status: Yes/No</w:t>
            </w:r>
          </w:p>
        </w:tc>
        <w:tc>
          <w:p>
            <w:pPr>
              <w:pStyle w:val="Compact"/>
              <w:jc w:val="left"/>
            </w:pPr>
            <w:r>
              <w:t xml:space="preserve">Categorical: Text</w:t>
            </w:r>
          </w:p>
        </w:tc>
      </w:tr>
      <w:tr>
        <w:tc>
          <w:p>
            <w:pPr>
              <w:pStyle w:val="Compact"/>
              <w:jc w:val="left"/>
            </w:pPr>
            <w:r>
              <w:t xml:space="preserve">icu_yn</w:t>
            </w:r>
          </w:p>
        </w:tc>
        <w:tc>
          <w:p>
            <w:pPr>
              <w:pStyle w:val="Compact"/>
              <w:jc w:val="left"/>
            </w:pPr>
            <w:r>
              <w:t xml:space="preserve">ICU admission status: Yes/No</w:t>
            </w:r>
          </w:p>
        </w:tc>
        <w:tc>
          <w:p>
            <w:pPr>
              <w:pStyle w:val="Compact"/>
              <w:jc w:val="left"/>
            </w:pPr>
            <w:r>
              <w:t xml:space="preserve">Categorical: Text</w:t>
            </w:r>
          </w:p>
        </w:tc>
      </w:tr>
      <w:tr>
        <w:tc>
          <w:p>
            <w:pPr>
              <w:pStyle w:val="Compact"/>
              <w:jc w:val="left"/>
            </w:pPr>
            <w:r>
              <w:t xml:space="preserve">death_yn</w:t>
            </w:r>
          </w:p>
        </w:tc>
        <w:tc>
          <w:p>
            <w:pPr>
              <w:pStyle w:val="Compact"/>
              <w:jc w:val="left"/>
            </w:pPr>
            <w:r>
              <w:t xml:space="preserve">Death status: Yes/No</w:t>
            </w:r>
          </w:p>
        </w:tc>
        <w:tc>
          <w:p>
            <w:pPr>
              <w:pStyle w:val="Compact"/>
              <w:jc w:val="left"/>
            </w:pPr>
            <w:r>
              <w:t xml:space="preserve">Categorical: Text</w:t>
            </w:r>
          </w:p>
        </w:tc>
      </w:tr>
      <w:tr>
        <w:tc>
          <w:p>
            <w:pPr>
              <w:pStyle w:val="Compact"/>
              <w:jc w:val="left"/>
            </w:pPr>
            <w:r>
              <w:t xml:space="preserve">medcond_yn</w:t>
            </w:r>
          </w:p>
        </w:tc>
        <w:tc>
          <w:p>
            <w:pPr>
              <w:pStyle w:val="Compact"/>
              <w:jc w:val="left"/>
            </w:pPr>
            <w:r>
              <w:t xml:space="preserve">Presence of underlying comorbidity or disease: Yes/No</w:t>
            </w:r>
          </w:p>
        </w:tc>
        <w:tc>
          <w:p>
            <w:pPr>
              <w:pStyle w:val="Compact"/>
              <w:jc w:val="left"/>
            </w:pPr>
            <w:r>
              <w:t xml:space="preserve">Categorical: Text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dx.doi.org/10.15585/mmwr.mm6938a4external" TargetMode="External" /><Relationship Type="http://schemas.openxmlformats.org/officeDocument/2006/relationships/hyperlink" Id="rId28" Target="http://dx.doi.org/10.15585/mmwr.mm6939e1external" TargetMode="External" /><Relationship Type="http://schemas.openxmlformats.org/officeDocument/2006/relationships/hyperlink" Id="rId29" Target="https://data.cdc.gov/Case-Surveillance/COVID-19-Case-Surveillance-Public-Use-Data/vbim-akqf" TargetMode="External" /><Relationship Type="http://schemas.openxmlformats.org/officeDocument/2006/relationships/hyperlink" Id="rId26" Target="https://www.cdc.gov/coronavirus/2019-ncov/covid-data/covidview/index.html" TargetMode="External" /><Relationship Type="http://schemas.openxmlformats.org/officeDocument/2006/relationships/hyperlink" Id="rId25" Target="https://www.who.int/emergencies/diseases/novel-coronavirus-2019/question-and-answers-hub/q-a-detail/q-a-coronaviruses"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5585/mmwr.mm6938a4external" TargetMode="External" /><Relationship Type="http://schemas.openxmlformats.org/officeDocument/2006/relationships/hyperlink" Id="rId28" Target="http://dx.doi.org/10.15585/mmwr.mm6939e1external" TargetMode="External" /><Relationship Type="http://schemas.openxmlformats.org/officeDocument/2006/relationships/hyperlink" Id="rId29" Target="https://data.cdc.gov/Case-Surveillance/COVID-19-Case-Surveillance-Public-Use-Data/vbim-akqf" TargetMode="External" /><Relationship Type="http://schemas.openxmlformats.org/officeDocument/2006/relationships/hyperlink" Id="rId26" Target="https://www.cdc.gov/coronavirus/2019-ncov/covid-data/covidview/index.html" TargetMode="External" /><Relationship Type="http://schemas.openxmlformats.org/officeDocument/2006/relationships/hyperlink" Id="rId25" Target="https://www.who.int/emergencies/diseases/novel-coronavirus-2019/question-and-answers-hub/q-a-detail/q-a-coronaviru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Check3</dc:title>
  <dc:creator>Chen, Xiangnan &amp; Cui, Augustine</dc:creator>
  <cp:keywords/>
  <dcterms:created xsi:type="dcterms:W3CDTF">2020-10-28T06:24:14Z</dcterms:created>
  <dcterms:modified xsi:type="dcterms:W3CDTF">2020-10-28T06:24:14Z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2020/10/20</vt:lpwstr>
  </property>
  <property fmtid="{D5CDD505-2E9C-101B-9397-08002B2CF9AE}" pid="3" name="output">
    <vt:lpwstr>word_document</vt:lpwstr>
  </property>
</Properties>
</file>