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Noto Sans CJK SC" w:cs="Noto Sans CJK SC" w:eastAsia="Noto Sans CJK SC" w:hAnsi="Noto Sans CJK SC"/>
          <w:b/>
          <w:bCs/>
          <w:color w:val="1A1A1A"/>
          <w:sz w:val="34"/>
          <w:szCs w:val="34"/>
        </w:rPr>
        <w:t xml:space="preserve">content 供给清单(T 集 — content 团队的责任清单)</w:t>
      </w:r>
    </w:p>
    <w:p>
      <w:pPr>
        <w:spacing w:after="100" w:line="300"/>
      </w:pPr>
      <w:r>
        <w:rPr>
          <w:rFonts w:ascii="Noto Sans CJK SC" w:cs="Noto Sans CJK SC" w:eastAsia="Noto Sans CJK SC" w:hAnsi="Noto Sans CJK SC"/>
          <w:color w:val="5A5A5A"/>
          <w:sz w:val="19"/>
          <w:szCs w:val="19"/>
        </w:rPr>
        <w:t xml:space="preserve">Ryan · 2026-08-24 · </w:t>
      </w:r>
      <w:r>
        <w:rPr>
          <w:rFonts w:ascii="Noto Sans Mono CJK SC" w:cs="Noto Sans Mono CJK SC" w:eastAsia="Noto Sans Mono CJK SC" w:hAnsi="Noto Sans Mono CJK SC"/>
          <w:color w:val="5A5A5A"/>
          <w:sz w:val="17"/>
          <w:szCs w:val="17"/>
        </w:rPr>
        <w:t xml:space="preserve">accepted</w:t>
      </w:r>
    </w:p>
    <w:p>
      <w:pPr>
        <w:pBdr>
          <w:left w:val="single" w:color="B0B0B0" w:sz="12" w:space="12"/>
        </w:pBdr>
        <w:spacing w:after="200" w:before="160" w:line="300"/>
        <w:ind w:left="340"/>
      </w:pPr>
      <w:r>
        <w:rPr>
          <w:rFonts w:ascii="Noto Sans CJK SC" w:cs="Noto Sans CJK SC" w:eastAsia="Noto Sans CJK SC" w:hAnsi="Noto Sans CJK SC"/>
          <w:sz w:val="20"/>
          <w:szCs w:val="20"/>
        </w:rPr>
        <w:t xml:space="preserve">与 </w:t>
      </w:r>
      <w:r>
        <w:rPr>
          <w:rFonts w:ascii="Noto Sans CJK SC" w:cs="Noto Sans CJK SC" w:eastAsia="Noto Sans CJK SC" w:hAnsi="Noto Sans CJK SC"/>
          <w:b/>
          <w:bCs/>
          <w:sz w:val="20"/>
          <w:szCs w:val="20"/>
        </w:rPr>
        <w:t xml:space="preserve">checklist(C 集)</w:t>
      </w:r>
      <w:r>
        <w:rPr>
          <w:rFonts w:ascii="Noto Sans CJK SC" w:cs="Noto Sans CJK SC" w:eastAsia="Noto Sans CJK SC" w:hAnsi="Noto Sans CJK SC"/>
          <w:b w:val="false"/>
          <w:bCs w:val="false"/>
          <w:color w:val="5A5A5A"/>
          <w:sz w:val="17"/>
          <w:szCs w:val="17"/>
        </w:rPr>
        <w:t xml:space="preserve"> (../checklist/checklist.md)</w:t>
      </w:r>
      <w:r>
        <w:rPr>
          <w:rFonts w:ascii="Noto Sans CJK SC" w:cs="Noto Sans CJK SC" w:eastAsia="Noto Sans CJK SC" w:hAnsi="Noto Sans CJK SC"/>
          <w:sz w:val="20"/>
          <w:szCs w:val="20"/>
        </w:rPr>
        <w:t xml:space="preserve"> 同构:</w:t>
      </w:r>
      <w:r>
        <w:rPr>
          <w:rFonts w:ascii="Noto Sans CJK SC" w:cs="Noto Sans CJK SC" w:eastAsia="Noto Sans CJK SC" w:hAnsi="Noto Sans CJK SC"/>
          <w:b/>
          <w:bCs/>
          <w:sz w:val="20"/>
          <w:szCs w:val="20"/>
        </w:rPr>
        <w:t xml:space="preserve">C 集查页面产出对不对,T 集定 content 该供什么</w:t>
      </w:r>
      <w:r>
        <w:rPr>
          <w:rFonts w:ascii="Noto Sans CJK SC" w:cs="Noto Sans CJK SC" w:eastAsia="Noto Sans CJK SC" w:hAnsi="Noto Sans CJK SC"/>
          <w:sz w:val="20"/>
          <w:szCs w:val="20"/>
        </w:rPr>
        <w:t xml:space="preserve"> —— 每条 T 都标注它喂的下游 C 项,T 欠供 ⇒ 对应 C 红,责任可回溯。</w:t>
      </w:r>
      <w:r>
        <w:br/>
      </w:r>
      <w:r>
        <w:rPr>
          <w:rFonts w:ascii="Noto Sans CJK SC" w:cs="Noto Sans CJK SC" w:eastAsia="Noto Sans CJK SC" w:hAnsi="Noto Sans CJK SC"/>
          <w:b/>
          <w:bCs/>
          <w:sz w:val="20"/>
          <w:szCs w:val="20"/>
        </w:rPr>
        <w:t xml:space="preserve">定位 = 补集</w:t>
      </w:r>
      <w:r>
        <w:rPr>
          <w:rFonts w:ascii="Noto Sans CJK SC" w:cs="Noto Sans CJK SC" w:eastAsia="Noto Sans CJK SC" w:hAnsi="Noto Sans CJK SC"/>
          <w:sz w:val="20"/>
          <w:szCs w:val="20"/>
        </w:rPr>
        <w:t xml:space="preserve">:常规页面 doc(按 layout 分段写文案,如现有 APSU Website 页面 doc)+ layout 设计 + URL 照旧交付,已经在交的不重复列;本清单只列</w:t>
      </w:r>
      <w:r>
        <w:rPr>
          <w:rFonts w:ascii="Noto Sans CJK SC" w:cs="Noto Sans CJK SC" w:eastAsia="Noto Sans CJK SC" w:hAnsi="Noto Sans CJK SC"/>
          <w:b/>
          <w:bCs/>
          <w:sz w:val="20"/>
          <w:szCs w:val="20"/>
        </w:rPr>
        <w:t xml:space="preserve">常规页面 doc 通常不覆盖的 SEO 供给项</w:t>
      </w:r>
      <w:r>
        <w:rPr>
          <w:rFonts w:ascii="Noto Sans CJK SC" w:cs="Noto Sans CJK SC" w:eastAsia="Noto Sans CJK SC" w:hAnsi="Noto Sans CJK SC"/>
          <w:sz w:val="20"/>
          <w:szCs w:val="20"/>
        </w:rPr>
        <w:t xml:space="preserve">,作为每页 doc 顶部的「SEO 头部块」补进去。字段同步登记进 content 团队自有的登记表——doc 是写作面,表是登记面,checker 状态列在表上回显红绿。</w:t>
      </w:r>
      <w:r>
        <w:br/>
      </w:r>
      <w:r>
        <w:rPr>
          <w:rFonts w:ascii="Noto Sans CJK SC" w:cs="Noto Sans CJK SC" w:eastAsia="Noto Sans CJK SC" w:hAnsi="Noto Sans CJK SC"/>
          <w:b/>
          <w:bCs/>
          <w:sz w:val="20"/>
          <w:szCs w:val="20"/>
        </w:rPr>
        <w:t xml:space="preserve">每条目的详细说明各自一篇,住 </w:t>
      </w:r>
      <w:r>
        <w:rPr>
          <w:rFonts w:ascii="Noto Sans CJK SC" w:cs="Noto Sans CJK SC" w:eastAsia="Noto Sans CJK SC" w:hAnsi="Noto Sans CJK SC"/>
          <w:b/>
          <w:bCs/>
          <w:sz w:val="20"/>
          <w:szCs w:val="20"/>
        </w:rPr>
        <w:t xml:space="preserve">references/</w:t>
      </w:r>
      <w:r>
        <w:rPr>
          <w:rFonts w:ascii="Noto Sans CJK SC" w:cs="Noto Sans CJK SC" w:eastAsia="Noto Sans CJK SC" w:hAnsi="Noto Sans CJK SC"/>
          <w:sz w:val="20"/>
          <w:szCs w:val="20"/>
        </w:rPr>
        <w:t xml:space="preserve">(介绍 + 怎么交 + 常见错误);本表是索引与供给一览,写页面时对着 references 逐条交。</w:t>
      </w:r>
    </w:p>
    <w:p>
      <w:pPr>
        <w:pStyle w:val="Heading2"/>
        <w:spacing w:after="140" w:before="320"/>
      </w:pPr>
      <w:r>
        <w:rPr>
          <w:rFonts w:ascii="Noto Sans CJK SC" w:cs="Noto Sans CJK SC" w:eastAsia="Noto Sans CJK SC" w:hAnsi="Noto Sans CJK SC"/>
          <w:b/>
          <w:bCs/>
          <w:color w:val="1A1A1A"/>
          <w:sz w:val="26"/>
          <w:szCs w:val="26"/>
        </w:rPr>
        <w:t xml:space="preserve">一、站级(一次性供给 + 低频维护)</w:t>
      </w:r>
    </w:p>
    <w:tbl>
      <w:tblPr>
        <w:tblW w:type="dxa" w:w="9360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820"/>
        <w:gridCol w:w="2400"/>
        <w:gridCol w:w="4840"/>
        <w:gridCol w:w="1300"/>
      </w:tblGrid>
      <w:tr>
        <w:trPr>
          <w:tblHeader/>
        </w:trPr>
        <w:tc>
          <w:tcPr>
            <w:tcW w:type="dxa" w:w="820"/>
            <w:shd w:fill="EFEFE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shd w:fill="EFEFE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供给</w:t>
            </w:r>
          </w:p>
        </w:tc>
        <w:tc>
          <w:tcPr>
            <w:tcW w:type="dxa" w:w="4840"/>
            <w:shd w:fill="EFEFE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1300"/>
            <w:shd w:fill="EFEFE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下游</w:t>
            </w:r>
          </w:p>
        </w:tc>
      </w:tr>
      <w:tr>
        <w:trPr>
          <w:cantSplit/>
        </w:trPr>
        <w:tc>
          <w:tcPr>
            <w:tcW w:type="dxa" w:w="82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T1</w:t>
            </w:r>
          </w:p>
        </w:tc>
        <w:tc>
          <w:tcPr>
            <w:tcW w:type="dxa" w:w="2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品牌名统一写法 + 官方社媒账号清单</w:t>
            </w:r>
          </w:p>
        </w:tc>
        <w:tc>
          <w:tcPr>
            <w:tcW w:type="dxa" w:w="484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Organization </w:t>
            </w:r>
            <w:r>
              <w:rPr>
                <w:rFonts w:ascii="Noto Sans Mono CJK SC" w:cs="Noto Sans Mono CJK SC" w:eastAsia="Noto Sans Mono CJK SC" w:hAnsi="Noto Sans Mono CJK SC"/>
                <w:sz w:val="18"/>
                <w:szCs w:val="18"/>
              </w:rPr>
              <w:t xml:space="preserve">sameAs</w:t>
            </w: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 的数据源;三站互指同一实体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C12</w:t>
            </w:r>
          </w:p>
        </w:tc>
      </w:tr>
      <w:tr>
        <w:trPr>
          <w:cantSplit/>
        </w:trPr>
        <w:tc>
          <w:tcPr>
            <w:tcW w:type="dxa" w:w="82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T2</w:t>
            </w:r>
          </w:p>
        </w:tc>
        <w:tc>
          <w:tcPr>
            <w:tcW w:type="dxa" w:w="2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重点页清单 + 每页一句话摘要</w:t>
            </w:r>
          </w:p>
        </w:tc>
        <w:tc>
          <w:tcPr>
            <w:tcW w:type="dxa" w:w="484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llms.txt 收谁由 content 团队判断,每条配一句话摘要(文件生成归 frontend)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C7</w:t>
            </w:r>
          </w:p>
        </w:tc>
      </w:tr>
    </w:tbl>
    <w:p>
      <w:pPr>
        <w:pStyle w:val="Heading2"/>
        <w:spacing w:after="140" w:before="320"/>
      </w:pPr>
      <w:r>
        <w:rPr>
          <w:rFonts w:ascii="Noto Sans CJK SC" w:cs="Noto Sans CJK SC" w:eastAsia="Noto Sans CJK SC" w:hAnsi="Noto Sans CJK SC"/>
          <w:b/>
          <w:bCs/>
          <w:color w:val="1A1A1A"/>
          <w:sz w:val="26"/>
          <w:szCs w:val="26"/>
        </w:rPr>
        <w:t xml:space="preserve">二、每页必交(页面 doc 顶部「SEO 头部块」)</w:t>
      </w:r>
    </w:p>
    <w:tbl>
      <w:tblPr>
        <w:tblW w:type="dxa" w:w="9360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820"/>
        <w:gridCol w:w="2400"/>
        <w:gridCol w:w="4840"/>
        <w:gridCol w:w="1300"/>
      </w:tblGrid>
      <w:tr>
        <w:trPr>
          <w:tblHeader/>
        </w:trPr>
        <w:tc>
          <w:tcPr>
            <w:tcW w:type="dxa" w:w="820"/>
            <w:shd w:fill="EFEFE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shd w:fill="EFEFE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供给</w:t>
            </w:r>
          </w:p>
        </w:tc>
        <w:tc>
          <w:tcPr>
            <w:tcW w:type="dxa" w:w="4840"/>
            <w:shd w:fill="EFEFE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1300"/>
            <w:shd w:fill="EFEFE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下游</w:t>
            </w:r>
          </w:p>
        </w:tc>
      </w:tr>
      <w:tr>
        <w:trPr>
          <w:cantSplit/>
        </w:trPr>
        <w:tc>
          <w:tcPr>
            <w:tcW w:type="dxa" w:w="82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T3</w:t>
            </w:r>
          </w:p>
        </w:tc>
        <w:tc>
          <w:tcPr>
            <w:tcW w:type="dxa" w:w="2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URL</w:t>
            </w:r>
          </w:p>
        </w:tc>
        <w:tc>
          <w:tcPr>
            <w:tcW w:type="dxa" w:w="484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语义化路径、层级反映品类、禁歧义词;新增 URL 过评审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</w:p>
        </w:tc>
      </w:tr>
      <w:tr>
        <w:trPr>
          <w:cantSplit/>
        </w:trPr>
        <w:tc>
          <w:tcPr>
            <w:tcW w:type="dxa" w:w="82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T4</w:t>
            </w:r>
          </w:p>
        </w:tc>
        <w:tc>
          <w:tcPr>
            <w:tcW w:type="dxa" w:w="2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Mono CJK SC" w:cs="Noto Sans Mono CJK SC" w:eastAsia="Noto Sans Mono CJK SC" w:hAnsi="Noto Sans Mono CJK SC"/>
                <w:b/>
                <w:bCs/>
                <w:sz w:val="18"/>
                <w:szCs w:val="18"/>
              </w:rPr>
              <w:t xml:space="preserve">ymyl</w:t>
            </w: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 判定</w:t>
            </w:r>
          </w:p>
        </w:tc>
        <w:tc>
          <w:tcPr>
            <w:tcW w:type="dxa" w:w="484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内容影响读者健康 / 财务 / 法律 / 人身安全即 </w:t>
            </w:r>
            <w:r>
              <w:rPr>
                <w:rFonts w:ascii="Noto Sans Mono CJK SC" w:cs="Noto Sans Mono CJK SC" w:eastAsia="Noto Sans Mono CJK SC" w:hAnsi="Noto Sans Mono CJK SC"/>
                <w:sz w:val="18"/>
                <w:szCs w:val="18"/>
              </w:rPr>
              <w:t xml:space="preserve">true</w:t>
            </w: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;</w:t>
            </w: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拿不准标 </w:t>
            </w:r>
            <w:r>
              <w:rPr>
                <w:rFonts w:ascii="Noto Sans Mono CJK SC" w:cs="Noto Sans Mono CJK SC" w:eastAsia="Noto Sans Mono CJK SC" w:hAnsi="Noto Sans Mono CJK SC"/>
                <w:b/>
                <w:bCs/>
                <w:sz w:val="18"/>
                <w:szCs w:val="18"/>
              </w:rPr>
              <w:t xml:space="preserve">true</w:t>
            </w: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。这是条件项的唯一开关,漏标 = C21 整条失效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C21</w:t>
            </w:r>
          </w:p>
        </w:tc>
      </w:tr>
      <w:tr>
        <w:trPr>
          <w:cantSplit/>
        </w:trPr>
        <w:tc>
          <w:tcPr>
            <w:tcW w:type="dxa" w:w="82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T5</w:t>
            </w:r>
          </w:p>
        </w:tc>
        <w:tc>
          <w:tcPr>
            <w:tcW w:type="dxa" w:w="2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title / description</w:t>
            </w:r>
          </w:p>
        </w:tc>
        <w:tc>
          <w:tcPr>
            <w:tcW w:type="dxa" w:w="484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title ≤60、desc ≤150,站级公式,每页唯一不复制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C11</w:t>
            </w:r>
          </w:p>
        </w:tc>
      </w:tr>
      <w:tr>
        <w:trPr>
          <w:cantSplit/>
        </w:trPr>
        <w:tc>
          <w:tcPr>
            <w:tcW w:type="dxa" w:w="82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T6</w:t>
            </w:r>
          </w:p>
        </w:tc>
        <w:tc>
          <w:tcPr>
            <w:tcW w:type="dxa" w:w="2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H1 一句</w:t>
            </w:r>
          </w:p>
        </w:tc>
        <w:tc>
          <w:tcPr>
            <w:tcW w:type="dxa" w:w="484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一页一个,与 title 同主题(文字可不同)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C17</w:t>
            </w:r>
          </w:p>
        </w:tc>
      </w:tr>
      <w:tr>
        <w:trPr>
          <w:cantSplit/>
        </w:trPr>
        <w:tc>
          <w:tcPr>
            <w:tcW w:type="dxa" w:w="82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T7</w:t>
            </w:r>
          </w:p>
        </w:tc>
        <w:tc>
          <w:tcPr>
            <w:tcW w:type="dxa" w:w="2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H2/H3 大纲</w:t>
            </w:r>
          </w:p>
        </w:tc>
        <w:tc>
          <w:tcPr>
            <w:tcW w:type="dxa" w:w="484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逐级不跳;指南 / FAQ 类内容:问句原样、每节结论前置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C17 · C7/C12 的内容形状要求</w:t>
            </w:r>
          </w:p>
        </w:tc>
      </w:tr>
      <w:tr>
        <w:trPr>
          <w:cantSplit/>
        </w:trPr>
        <w:tc>
          <w:tcPr>
            <w:tcW w:type="dxa" w:w="82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T14</w:t>
            </w:r>
          </w:p>
        </w:tc>
        <w:tc>
          <w:tcPr>
            <w:tcW w:type="dxa" w:w="2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图片 alt 文案</w:t>
            </w:r>
          </w:p>
        </w:tc>
        <w:tc>
          <w:tcPr>
            <w:tcW w:type="dxa" w:w="484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内容图逐张一句描述(讲图里是什么,不堆关键词);纯装饰图标注「装饰」(前端落成 </w:t>
            </w:r>
            <w:r>
              <w:rPr>
                <w:rFonts w:ascii="Noto Sans Mono CJK SC" w:cs="Noto Sans Mono CJK SC" w:eastAsia="Noto Sans Mono CJK SC" w:hAnsi="Noto Sans Mono CJK SC"/>
                <w:sz w:val="18"/>
                <w:szCs w:val="18"/>
              </w:rPr>
              <w:t xml:space="preserve">alt=""</w:t>
            </w: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)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C18</w:t>
            </w:r>
          </w:p>
        </w:tc>
      </w:tr>
      <w:tr>
        <w:trPr>
          <w:cantSplit/>
        </w:trPr>
        <w:tc>
          <w:tcPr>
            <w:tcW w:type="dxa" w:w="82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T8</w:t>
            </w:r>
          </w:p>
        </w:tc>
        <w:tc>
          <w:tcPr>
            <w:tcW w:type="dxa" w:w="2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语言配置与双语成对</w:t>
            </w:r>
          </w:p>
        </w:tc>
        <w:tc>
          <w:tcPr>
            <w:tcW w:type="dxa" w:w="484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en/zh 同交不留单边;单语页显式声明 en only / zh only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C22</w:t>
            </w:r>
          </w:p>
        </w:tc>
      </w:tr>
      <w:tr>
        <w:trPr>
          <w:cantSplit/>
        </w:trPr>
        <w:tc>
          <w:tcPr>
            <w:tcW w:type="dxa" w:w="82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T9</w:t>
            </w:r>
          </w:p>
        </w:tc>
        <w:tc>
          <w:tcPr>
            <w:tcW w:type="dxa" w:w="2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OG 分享文案 </w:t>
            </w: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+ 分享图指定</w:t>
            </w:r>
          </w:p>
        </w:tc>
        <w:tc>
          <w:tcPr>
            <w:tcW w:type="dxa" w:w="484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文案可与 title/desc 同源,差异化时单独供;分享图</w:t>
            </w: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缺省取正文主图</w:t>
            </w: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,主图不适合当卡片时(尺寸不对、是图标/装饰图)在此指定一张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C19</w:t>
            </w:r>
          </w:p>
        </w:tc>
      </w:tr>
      <w:tr>
        <w:trPr>
          <w:cantSplit/>
        </w:trPr>
        <w:tc>
          <w:tcPr>
            <w:tcW w:type="dxa" w:w="82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T10</w:t>
            </w:r>
          </w:p>
        </w:tc>
        <w:tc>
          <w:tcPr>
            <w:tcW w:type="dxa" w:w="2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date_modified 维护</w:t>
            </w:r>
          </w:p>
        </w:tc>
        <w:tc>
          <w:tcPr>
            <w:tcW w:type="dxa" w:w="484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内容实质更新时同步改(喂 JSON-LD 与可见标注,同源)。</w:t>
            </w: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为 GEO 保留</w:t>
            </w: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:AI 回答明显偏好近期内容,费率 / 政策 / 流程类尤甚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C21</w:t>
            </w:r>
          </w:p>
        </w:tc>
      </w:tr>
    </w:tbl>
    <w:p>
      <w:pPr>
        <w:pStyle w:val="Heading2"/>
        <w:spacing w:after="140" w:before="320"/>
      </w:pPr>
      <w:r>
        <w:rPr>
          <w:rFonts w:ascii="Noto Sans CJK SC" w:cs="Noto Sans CJK SC" w:eastAsia="Noto Sans CJK SC" w:hAnsi="Noto Sans CJK SC"/>
          <w:b/>
          <w:bCs/>
          <w:color w:val="1A1A1A"/>
          <w:sz w:val="26"/>
          <w:szCs w:val="26"/>
        </w:rPr>
        <w:t xml:space="preserve">三、条件项(flag / 内容条件触发)</w:t>
      </w:r>
    </w:p>
    <w:p>
      <w:pPr>
        <w:pBdr>
          <w:left w:val="single" w:color="B0B0B0" w:sz="12" w:space="12"/>
        </w:pBdr>
        <w:spacing w:after="200" w:before="160" w:line="300"/>
        <w:ind w:left="340"/>
      </w:pPr>
      <w:r>
        <w:rPr>
          <w:rFonts w:ascii="Noto Sans CJK SC" w:cs="Noto Sans CJK SC" w:eastAsia="Noto Sans CJK SC" w:hAnsi="Noto Sans CJK SC"/>
          <w:sz w:val="20"/>
          <w:szCs w:val="20"/>
        </w:rPr>
        <w:t xml:space="preserve">触发条件是 </w:t>
      </w:r>
      <w:r>
        <w:rPr>
          <w:rFonts w:ascii="Noto Sans CJK SC" w:cs="Noto Sans CJK SC" w:eastAsia="Noto Sans CJK SC" w:hAnsi="Noto Sans CJK SC"/>
          <w:b/>
          <w:bCs/>
          <w:sz w:val="20"/>
          <w:szCs w:val="20"/>
        </w:rPr>
        <w:t xml:space="preserve">flag 或页面上有没有那个东西</w:t>
      </w:r>
      <w:r>
        <w:rPr>
          <w:rFonts w:ascii="Noto Sans CJK SC" w:cs="Noto Sans CJK SC" w:eastAsia="Noto Sans CJK SC" w:hAnsi="Noto Sans CJK SC"/>
          <w:sz w:val="20"/>
          <w:szCs w:val="20"/>
        </w:rPr>
        <w:t xml:space="preserve">,不是页型 —— 页型条件 2026-08-25 整体退役(Google 不消费 </w:t>
      </w:r>
      <w:r>
        <w:rPr>
          <w:rFonts w:ascii="Noto Sans Mono CJK SC" w:cs="Noto Sans Mono CJK SC" w:eastAsia="Noto Sans Mono CJK SC" w:hAnsi="Noto Sans Mono CJK SC"/>
          <w:sz w:val="18"/>
          <w:szCs w:val="18"/>
        </w:rPr>
        <w:t xml:space="preserve">WebPage</w:t>
      </w:r>
      <w:r>
        <w:rPr>
          <w:rFonts w:ascii="Noto Sans CJK SC" w:cs="Noto Sans CJK SC" w:eastAsia="Noto Sans CJK SC" w:hAnsi="Noto Sans CJK SC"/>
          <w:sz w:val="20"/>
          <w:szCs w:val="20"/>
        </w:rPr>
        <w:t xml:space="preserve"> 子类型,而页型声明要 content 逐页维护、漏标即静默失效;理由见 </w:t>
      </w:r>
      <w:r>
        <w:rPr>
          <w:rFonts w:ascii="Noto Sans CJK SC" w:cs="Noto Sans CJK SC" w:eastAsia="Noto Sans CJK SC" w:hAnsi="Noto Sans CJK SC"/>
          <w:b/>
          <w:bCs/>
          <w:sz w:val="20"/>
          <w:szCs w:val="20"/>
        </w:rPr>
        <w:t xml:space="preserve">C12.md</w:t>
      </w:r>
      <w:r>
        <w:rPr>
          <w:rFonts w:ascii="Noto Sans CJK SC" w:cs="Noto Sans CJK SC" w:eastAsia="Noto Sans CJK SC" w:hAnsi="Noto Sans CJK SC"/>
          <w:b w:val="false"/>
          <w:bCs w:val="false"/>
          <w:color w:val="5A5A5A"/>
          <w:sz w:val="17"/>
          <w:szCs w:val="17"/>
        </w:rPr>
        <w:t xml:space="preserve"> (../checklist/references/C12.md)</w:t>
      </w:r>
      <w:r>
        <w:rPr>
          <w:rFonts w:ascii="Noto Sans CJK SC" w:cs="Noto Sans CJK SC" w:eastAsia="Noto Sans CJK SC" w:hAnsi="Noto Sans CJK SC"/>
          <w:sz w:val="20"/>
          <w:szCs w:val="20"/>
        </w:rPr>
        <w:t xml:space="preserve"> 开头说明)。</w:t>
      </w:r>
    </w:p>
    <w:tbl>
      <w:tblPr>
        <w:tblW w:type="dxa" w:w="9360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820"/>
        <w:gridCol w:w="1900"/>
        <w:gridCol w:w="5340"/>
        <w:gridCol w:w="1300"/>
      </w:tblGrid>
      <w:tr>
        <w:trPr>
          <w:tblHeader/>
        </w:trPr>
        <w:tc>
          <w:tcPr>
            <w:tcW w:type="dxa" w:w="820"/>
            <w:shd w:fill="EFEFE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shd w:fill="EFEFE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触发</w:t>
            </w:r>
          </w:p>
        </w:tc>
        <w:tc>
          <w:tcPr>
            <w:tcW w:type="dxa" w:w="5340"/>
            <w:shd w:fill="EFEFE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供给</w:t>
            </w:r>
          </w:p>
        </w:tc>
        <w:tc>
          <w:tcPr>
            <w:tcW w:type="dxa" w:w="1300"/>
            <w:shd w:fill="EFEFE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下游</w:t>
            </w:r>
          </w:p>
        </w:tc>
      </w:tr>
      <w:tr>
        <w:trPr>
          <w:cantSplit/>
        </w:trPr>
        <w:tc>
          <w:tcPr>
            <w:tcW w:type="dxa" w:w="82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T12</w:t>
            </w:r>
          </w:p>
        </w:tc>
        <w:tc>
          <w:tcPr>
            <w:tcW w:type="dxa" w:w="1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Mono CJK SC" w:cs="Noto Sans Mono CJK SC" w:eastAsia="Noto Sans Mono CJK SC" w:hAnsi="Noto Sans Mono CJK SC"/>
                <w:sz w:val="18"/>
                <w:szCs w:val="18"/>
              </w:rPr>
              <w:t xml:space="preserve">ymyl=true</w:t>
            </w: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(</w:t>
            </w: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T4</w:t>
            </w: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)</w:t>
            </w:r>
          </w:p>
        </w:tc>
        <w:tc>
          <w:tcPr>
            <w:tcW w:type="dxa" w:w="534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作者实名 + 头衔 + 资质;审核人 + 审核日期(审核</w:t>
            </w: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真实发生</w:t>
            </w: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,R2);citations 官方来源(域 ∈ 白名单)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C21</w:t>
            </w:r>
          </w:p>
        </w:tc>
      </w:tr>
      <w:tr>
        <w:trPr>
          <w:cantSplit/>
        </w:trPr>
        <w:tc>
          <w:tcPr>
            <w:tcW w:type="dxa" w:w="82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T13</w:t>
            </w:r>
          </w:p>
        </w:tc>
        <w:tc>
          <w:tcPr>
            <w:tcW w:type="dxa" w:w="1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页面要展示产品与价格</w:t>
            </w:r>
          </w:p>
        </w:tc>
        <w:tc>
          <w:tcPr>
            <w:tcW w:type="dxa" w:w="534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产品名 / 卖点 / 价格等人读字段(结构化登记,供 JSON-LD 取值)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Noto Sans CJK SC" w:cs="Noto Sans CJK SC" w:eastAsia="Noto Sans CJK SC" w:hAnsi="Noto Sans CJK SC"/>
                <w:sz w:val="20"/>
                <w:szCs w:val="20"/>
              </w:rPr>
              <w:t xml:space="preserve">C12</w:t>
            </w:r>
          </w:p>
        </w:tc>
      </w:tr>
    </w:tbl>
    <w:p>
      <w:pPr>
        <w:spacing w:after="120"/>
      </w:pPr>
    </w:p>
    <w:p>
      <w:pPr>
        <w:pBdr>
          <w:left w:val="single" w:color="B0B0B0" w:sz="12" w:space="12"/>
        </w:pBdr>
        <w:spacing w:after="200" w:before="160" w:line="300"/>
        <w:ind w:left="340"/>
      </w:pPr>
      <w:r>
        <w:rPr>
          <w:rFonts w:ascii="Noto Sans CJK SC" w:cs="Noto Sans CJK SC" w:eastAsia="Noto Sans CJK SC" w:hAnsi="Noto Sans CJK SC"/>
          <w:sz w:val="20"/>
          <w:szCs w:val="20"/>
        </w:rPr>
        <w:t xml:space="preserve">编号纪律同 C 集:T 号永久,只顺延(下一条 T15)、不回收;行序表达语义邻接。</w:t>
      </w:r>
      <w:r>
        <w:br/>
      </w:r>
      <w:r>
        <w:rPr>
          <w:rFonts w:ascii="Noto Sans CJK SC" w:cs="Noto Sans CJK SC" w:eastAsia="Noto Sans CJK SC" w:hAnsi="Noto Sans CJK SC"/>
          <w:sz w:val="20"/>
          <w:szCs w:val="20"/>
        </w:rPr>
        <w:t xml:space="preserve">验收:checker 跑 C 集,红项按「下游」列反查到 T,即知是 content 欠供还是 frontend 未落。</w:t>
      </w:r>
    </w:p>
    <w:sectPr>
      <w:pgSz w:w="12240" w:h="15840" w:orient="portrait"/>
      <w:pgMar w:top="1150" w:right="1440" w:bottom="11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2026-08-26T13:40:54.324Z</dcterms:created>
  <dcterms:modified xsi:type="dcterms:W3CDTF">2026-08-26T13:40:54.324Z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