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tabs>
          <w:tab w:val="left" w:pos="4140"/>
        </w:tabs>
        <w:ind w:firstLine="420"/>
        <w:contextualSpacing w:val="0"/>
        <w:jc w:val="center"/>
        <w:rPr>
          <w:rFonts w:ascii="宋体" w:cs="宋体" w:eastAsia="宋体" w:hAnsi="宋体"/>
          <w:b w:val="1"/>
          <w:sz w:val="28"/>
          <w:szCs w:val="28"/>
        </w:rPr>
      </w:pPr>
      <w:r w:rsidDel="00000000" w:rsidR="00000000" w:rsidRPr="00000000">
        <w:rPr>
          <w:rFonts w:ascii="宋体" w:cs="宋体" w:eastAsia="宋体" w:hAnsi="宋体"/>
          <w:b w:val="1"/>
          <w:sz w:val="28"/>
          <w:szCs w:val="28"/>
          <w:rtl w:val="0"/>
        </w:rPr>
        <w:t xml:space="preserve">全日制</w:t>
      </w:r>
      <w:r w:rsidDel="00000000" w:rsidR="00000000" w:rsidRPr="00000000">
        <w:rPr>
          <w:b w:val="1"/>
          <w:sz w:val="28"/>
          <w:szCs w:val="28"/>
          <w:rtl w:val="0"/>
        </w:rPr>
        <w:t xml:space="preserve">MBA</w:t>
      </w:r>
      <w:r w:rsidDel="00000000" w:rsidR="00000000" w:rsidRPr="00000000">
        <w:rPr>
          <w:rFonts w:ascii="宋体" w:cs="宋体" w:eastAsia="宋体" w:hAnsi="宋体"/>
          <w:b w:val="1"/>
          <w:sz w:val="28"/>
          <w:szCs w:val="28"/>
          <w:rtl w:val="0"/>
        </w:rPr>
        <w:t xml:space="preserve">学位论文开题报告（复旦大学管理学院）</w:t>
      </w:r>
    </w:p>
    <w:p w:rsidR="00000000" w:rsidDel="00000000" w:rsidP="00000000" w:rsidRDefault="00000000" w:rsidRPr="00000000">
      <w:pPr>
        <w:tabs>
          <w:tab w:val="left" w:pos="4140"/>
        </w:tabs>
        <w:ind w:firstLine="120"/>
        <w:contextualSpacing w:val="0"/>
        <w:jc w:val="center"/>
        <w:rPr>
          <w:b w:val="1"/>
        </w:rPr>
      </w:pPr>
      <w:r w:rsidDel="00000000" w:rsidR="00000000" w:rsidRPr="00000000">
        <w:rPr>
          <w:rFonts w:ascii="Gungsuh" w:cs="Gungsuh" w:eastAsia="Gungsuh" w:hAnsi="Gungsuh"/>
          <w:b w:val="1"/>
          <w:rtl w:val="0"/>
        </w:rPr>
        <w:t xml:space="preserve">Full-time MBA Dissertation Proposal（School of Management, Fudan University）</w:t>
      </w:r>
    </w:p>
    <w:p w:rsidR="00000000" w:rsidDel="00000000" w:rsidP="00000000" w:rsidRDefault="00000000" w:rsidRPr="00000000">
      <w:pPr>
        <w:tabs>
          <w:tab w:val="left" w:pos="4140"/>
        </w:tabs>
        <w:ind w:firstLine="120"/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4140"/>
        </w:tabs>
        <w:ind w:firstLine="120"/>
        <w:contextualSpacing w:val="0"/>
        <w:rPr>
          <w:rFonts w:ascii="宋体" w:cs="宋体" w:eastAsia="宋体" w:hAnsi="宋体"/>
          <w:b w:val="1"/>
        </w:rPr>
      </w:pPr>
      <w:r w:rsidDel="00000000" w:rsidR="00000000" w:rsidRPr="00000000">
        <w:rPr>
          <w:rFonts w:ascii="宋体" w:cs="宋体" w:eastAsia="宋体" w:hAnsi="宋体"/>
          <w:b w:val="1"/>
          <w:rtl w:val="0"/>
        </w:rPr>
        <w:t xml:space="preserve">开题报告日期</w:t>
      </w:r>
      <w:r w:rsidDel="00000000" w:rsidR="00000000" w:rsidRPr="00000000">
        <w:rPr>
          <w:b w:val="1"/>
          <w:rtl w:val="0"/>
        </w:rPr>
        <w:t xml:space="preserve">(Date):</w:t>
      </w:r>
    </w:p>
    <w:tbl>
      <w:tblPr>
        <w:tblStyle w:val="Table1"/>
        <w:bidiVisual w:val="0"/>
        <w:tblW w:w="9781.0" w:type="dxa"/>
        <w:jc w:val="left"/>
        <w:tblInd w:w="-57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1560"/>
        <w:gridCol w:w="709"/>
        <w:gridCol w:w="283"/>
        <w:gridCol w:w="988"/>
        <w:gridCol w:w="288"/>
        <w:gridCol w:w="823"/>
        <w:gridCol w:w="25"/>
        <w:gridCol w:w="284"/>
        <w:gridCol w:w="1417"/>
        <w:gridCol w:w="1845"/>
        <w:tblGridChange w:id="0">
          <w:tblGrid>
            <w:gridCol w:w="1559"/>
            <w:gridCol w:w="1560"/>
            <w:gridCol w:w="709"/>
            <w:gridCol w:w="283"/>
            <w:gridCol w:w="988"/>
            <w:gridCol w:w="288"/>
            <w:gridCol w:w="823"/>
            <w:gridCol w:w="25"/>
            <w:gridCol w:w="284"/>
            <w:gridCol w:w="1417"/>
            <w:gridCol w:w="1845"/>
          </w:tblGrid>
        </w:tblGridChange>
      </w:tblGrid>
      <w:tr>
        <w:trPr>
          <w:trHeight w:val="400" w:hRule="atLeast"/>
        </w:trPr>
        <w:tc>
          <w:tcPr/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姓名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spacing w:after="120" w:before="240" w:lineRule="auto"/>
              <w:contextualSpacing w:val="0"/>
              <w:rPr>
                <w:b w:val="1"/>
                <w:u w:val="singl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u w:val="single"/>
                <w:rtl w:val="0"/>
              </w:rPr>
              <w:t xml:space="preserve">陈丽君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学号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spacing w:after="120" w:before="240" w:lineRule="auto"/>
              <w:contextualSpacing w:val="0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15210690176</w:t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导师姓名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tabs>
                <w:tab w:val="left" w:pos="4140"/>
              </w:tabs>
              <w:spacing w:after="120" w:before="240" w:lineRule="auto"/>
              <w:contextualSpacing w:val="0"/>
              <w:rPr>
                <w:b w:val="1"/>
                <w:u w:val="singl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u w:val="single"/>
                <w:rtl w:val="0"/>
              </w:rPr>
              <w:t xml:space="preserve">徐云杰</w:t>
            </w:r>
          </w:p>
        </w:tc>
      </w:tr>
      <w:tr>
        <w:trPr>
          <w:trHeight w:val="178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学位论文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选题来源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spacing w:line="320" w:lineRule="auto"/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□ ILAB项目 ILAB Program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spacing w:line="320" w:lineRule="auto"/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□ 管理学院商业知识发展与传播中心项目 Program of Business Knowledge Development and Communication Center, School of Management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spacing w:line="320" w:lineRule="auto"/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□ 原工作单位项目From Former Employer Company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spacing w:line="320" w:lineRule="auto"/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□ 实习项目 From Internship Company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□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highlight w:val="yellow"/>
                <w:rtl w:val="0"/>
              </w:rPr>
              <w:t xml:space="preserve">其他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，请说明：Others, Please Specify: (    社会热点与兴趣            )</w:t>
            </w:r>
          </w:p>
        </w:tc>
      </w:tr>
      <w:tr>
        <w:trPr>
          <w:trHeight w:val="94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学位论文题目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P2P业务模式分析及风险控制模型研究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论文类型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□专题研究类Monographic Study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□案例分析类Case Study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color w:val="000000"/>
                <w:highlight w:val="yellow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highlight w:val="yellow"/>
                <w:rtl w:val="0"/>
              </w:rPr>
              <w:t xml:space="preserve">□调研报告类Research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□企业诊断报告类Enterprise Diagnosis Report</w:t>
            </w:r>
          </w:p>
        </w:tc>
      </w:tr>
      <w:tr>
        <w:trPr>
          <w:trHeight w:val="224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论文选题的现实背景、意义及实用价值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Research Background, Significance and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P2P是一种通过互联网进行借贷的模式，其英文名字是Peer toPeer，即“个人对个人”。主要有三个主体，分别是投资人，借款人，和平台。一般来讲，P2P网贷平台简单说即是由某个企业搭建一个互联网平台，由需要钱的人发布需求，投资人参与竞标，由平台撮合双方完成交易，并收取一定服务费的一种网络借贷模式。也是当前互联网金融领域最火热，最有生机同时也是最有争议的一种模式。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P2P模式的提出可以追溯到1976年，由诺贝尔和平奖得主尤努斯博士提出，最初是为贫困地区提供低成本的小额贷款。进入21世纪，P2P的模式在欧美得到广泛发展，先后涌现出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Zopa， Prosper，lending club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等著名平台。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国内P2P行业起步较晚，但08年金融危机之后，由于银行风控审核标准提高，惜贷心理严重，导致很多中小企业亟需资金而不可得。另一方面，由于利率，固定收益，理财产品等收益持续下滑，民众的存款有迫切的保值增值期望。再加上互联网金融的发展尤其是fintech技术的运用，P2P行业迎来黄金发展。市场容量以及模式创新等方面已经走到了世界前列，可以说是百花齐放。有以担保为核心的陆金所模式，纯线上撮合的拍拍贷模式，极度分散的点融网模式，基于熟人借贷的借贷宝模式等。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金融创新往往是游走在监管的灰色地带。这意味着巨大的风险，无论是对平台还是投资人。P2P行业一开始由于缺乏监管，给了很多不法平台以可乘之机。很多高利贷甚至诈骗以P2P作为伪装，出现了很多平台跑路，或庞氏骗局。也有很多企业表面上做P2P，其实是自融，维护资金池。一旦现金流出问题，投资人的利益无法保障。平台本身也有巨大的风险。往往一个监管规则的出现，就意味着一大批平台的倒闭，创业者如履薄冰。整个社会对P2P的评价可谓又爱又恨，表面上声明狼藉，很多人避之唯恐不及，但实际上投资人数量，成交金额连年成指数级增长。国家对这个行业已经高度重视，各种监管细则也正在完善。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毫无疑问，对纯线上，靠信用担保，无抵押的模式而言，风险控制是平台存活的核心。尤其是当下的中国并没有像欧美一样建立起一套完善的信用系统。但这也给了很多平台自主创新的空间。很多平台采用人工审核和自动化审核相结合的方式。缺乏信用体系的前提下，就采用各种授权数据来代替，比如手机运营商，电商，芝麻信用等。并采用行业互助的方式，维护行业黑名单。最重要的是利用大数据分析和Fintech技术来建立风控模型，进一步降低风险。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选择P2P行业作为研究对象，不仅仅是因为他是当下最火的行业，也是因为他是最有争议的行业。不仅仅是因为他发展极其迅速，也因为监管层投入了巨大的关注。通过国内外P2P的对比，有助于我们看到社会，文化，经济上存在的差异。研究P2P行业，使我们可以看清楚整个互联网金融的架构，比如第三方线上支付，电子商务，消费金融等。很多平台也在为走出P2P模式做尝试，比如线上综合性理财平台，智能投顾等。研究P2P，使得我们可以管中窥豹，有助于我们看清楚当前中国经济的脉络和存在的各种社会问题。研究P2P实施的细节，尤其是最核心风控机制，使我们可以了解大数据以及Fintech等技术在解决现实问题中的应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98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论文研究的主要问题及研究方法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 Research Issues and Methodologies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问题1：P2P不同的业务模式分析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研究方法：通过追溯P2P行业发展的历史，找到行业兴起的源动力；通过比对中外模式的不同，了解社会和经济结构对行业发展的影响；研究国内不同的P2P模式，理解当下中国的基本国情，以及P2P对中国社会和经济的影响；研究监管和行业的互相促进，预测P2P行业的发展方向。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范化的P2P启示包括多种形式，除了上文提到的标准P2P(Peer to Peer),外，另有，P2B(Person to Business)，是个人对（非金融机构）企业的借款形式。企业在平台上发布借款融资的需求，有空闲资金和投资意愿的投资人向借款企业投资，到期时企业还本付息，投资人收本拿息。还有P2C(Personal to Company)，也是个人对企业、公司的一种借款形式，大体和P2B相同，主要的区别在于P2C面向的企业主要是中小微企业，并不限制是否是金融机构。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To peer的模式是政策扶持的方向，也是行业的未来和希望所在。尤其是最新的监管细则出台后，（个人在单一平台借款不得超过20万，跨平台总借款额不得超过100万；企业在单一平台借款不得超过100万，跨平台总借款额不得超过500万）To Business和To Comapany的模式明显受到打压。本文主要是研究To peer的模式。对其他的模式也会做一些分析和比较。另外，消费金融作为一种时下火爆的消费分期模式，跟P2P也有千丝万缕的关系。本文也会进行深入的分析。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问题2: 风险控制方式研究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研究方法：通过线上数据和实地考察相结合的方式，获取第一手资料。分析行业最先进的风险控制机制。重点会围绕在基于大数据和Fintech技术为核心的自动化审核机制上。通过分析机制的优缺点，给出改进的方法，以提高整个行业的风控水平。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spacing w:after="120" w:before="240" w:lineRule="auto"/>
              <w:contextualSpacing w:val="0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8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论文的基本思路及详细大纲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Approach and Outline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76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</w:instrText>
                  <w:fldChar w:fldCharType="separate"/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</w:t>
                  <w:tab/>
                  <w:t xml:space="preserve">P2P是什么</w:t>
                  <w:tab/>
                  <w:t xml:space="preserve">3</w:t>
                </w:r>
                <w:r w:rsidDel="00000000" w:rsidR="00000000" w:rsidRPr="00000000">
                  <w:fldChar w:fldCharType="begin"/>
                  <w:instrText xml:space="preserve"> PAGEREF _Toc460874403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2</w:t>
                  <w:tab/>
                  <w:t xml:space="preserve">P2P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发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展的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历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史以及背景分析</w:t>
                  <w:tab/>
                  <w:t xml:space="preserve">3</w:t>
                </w:r>
                <w:r w:rsidDel="00000000" w:rsidR="00000000" w:rsidRPr="00000000">
                  <w:fldChar w:fldCharType="begin"/>
                  <w:instrText xml:space="preserve"> PAGEREF _Toc460874404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2.1</w:t>
                  <w:tab/>
                  <w:t xml:space="preserve">国外：</w:t>
                  <w:tab/>
                  <w:t xml:space="preserve">3</w:t>
                </w:r>
                <w:r w:rsidDel="00000000" w:rsidR="00000000" w:rsidRPr="00000000">
                  <w:fldChar w:fldCharType="begin"/>
                  <w:instrText xml:space="preserve"> PAGEREF _Toc460874405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2.2</w:t>
                  <w:tab/>
                  <w:t xml:space="preserve">国内：</w:t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_Toc460874406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2.3</w:t>
                  <w:tab/>
                  <w:t xml:space="preserve">国内外差异原因</w:t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_Toc460874407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3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与相似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业务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的比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较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_Toc460874408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3.1</w:t>
                  <w:tab/>
                  <w:t xml:space="preserve">小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贷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公司</w:t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_Toc460874409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3.2</w:t>
                  <w:tab/>
                  <w:t xml:space="preserve">京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东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白条</w:t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_Toc460874410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3.3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蚂蚁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花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呗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_Toc460874411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3.4</w:t>
                  <w:tab/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银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行理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财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_Toc460874412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4</w:t>
                  <w:tab/>
                  <w:t xml:space="preserve">P2P的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业务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模式介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绍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以及案例分析</w:t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_Toc460874413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44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4.1.1</w:t>
                  <w:tab/>
                  <w:t xml:space="preserve">国外案例分析</w:t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_Toc460874414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44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4.1.2</w:t>
                  <w:tab/>
                  <w:t xml:space="preserve">国内案例分析</w:t>
                  <w:tab/>
                  <w:t xml:space="preserve">4</w:t>
                </w:r>
                <w:r w:rsidDel="00000000" w:rsidR="00000000" w:rsidRPr="00000000">
                  <w:fldChar w:fldCharType="begin"/>
                  <w:instrText xml:space="preserve"> PAGEREF _Toc460874415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5</w:t>
                  <w:tab/>
                  <w:t xml:space="preserve">政策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对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P2P行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业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的影响</w:t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_Toc460874416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5.1</w:t>
                  <w:tab/>
                  <w:t xml:space="preserve">政策扶持</w:t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_Toc460874417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5.2</w:t>
                  <w:tab/>
                  <w:t xml:space="preserve">政策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监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管</w:t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_Toc460874418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44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5.2.1</w:t>
                  <w:tab/>
                  <w:t xml:space="preserve">期限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错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配</w:t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_Toc460874419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44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5.2.3</w:t>
                  <w:tab/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资产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池</w:t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_Toc460874421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44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5.2.4</w:t>
                  <w:tab/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额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度限制20w，100w限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_Toc460874422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44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5.2.5</w:t>
                  <w:tab/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资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金托管等</w:t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_Toc460874423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6</w:t>
                  <w:tab/>
                  <w:t xml:space="preserve">P2P行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业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面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临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的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风险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_Toc460874424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6.1</w:t>
                  <w:tab/>
                  <w:t xml:space="preserve">政策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风险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_Toc460874425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6.2</w:t>
                  <w:tab/>
                  <w:t xml:space="preserve">行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业风险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_Toc460874426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6.3</w:t>
                  <w:tab/>
                  <w:t xml:space="preserve">运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营风险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_Toc460874427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6.4</w:t>
                  <w:tab/>
                  <w:t xml:space="preserve">借款人信用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风险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_Toc460874428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6.5</w:t>
                  <w:tab/>
                  <w:t xml:space="preserve">管理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风险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_Toc460874429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7</w:t>
                  <w:tab/>
                  <w:t xml:space="preserve">典型的P2P流程分析</w:t>
                  <w:tab/>
                  <w:t xml:space="preserve">6</w:t>
                </w:r>
                <w:r w:rsidDel="00000000" w:rsidR="00000000" w:rsidRPr="00000000">
                  <w:fldChar w:fldCharType="begin"/>
                  <w:instrText xml:space="preserve"> PAGEREF _Toc460874430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8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如何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进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行分散投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资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7</w:t>
                </w:r>
                <w:r w:rsidDel="00000000" w:rsidR="00000000" w:rsidRPr="00000000">
                  <w:fldChar w:fldCharType="begin"/>
                  <w:instrText xml:space="preserve"> PAGEREF _Toc460874431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48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9</w:t>
                  <w:tab/>
                  <w:t xml:space="preserve">P2P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风险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控制以及借款人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审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核的方式分析</w:t>
                  <w:tab/>
                  <w:t xml:space="preserve">7</w:t>
                </w:r>
                <w:r w:rsidDel="00000000" w:rsidR="00000000" w:rsidRPr="00000000">
                  <w:fldChar w:fldCharType="begin"/>
                  <w:instrText xml:space="preserve"> PAGEREF _Toc460874432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9.1</w:t>
                  <w:tab/>
                  <w:t xml:space="preserve">人工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审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核</w:t>
                  <w:tab/>
                  <w:t xml:space="preserve">7</w:t>
                </w:r>
                <w:r w:rsidDel="00000000" w:rsidR="00000000" w:rsidRPr="00000000">
                  <w:fldChar w:fldCharType="begin"/>
                  <w:instrText xml:space="preserve"> PAGEREF _Toc460874433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9.2</w:t>
                  <w:tab/>
                  <w:t xml:space="preserve">自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动审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核</w:t>
                  <w:tab/>
                  <w:t xml:space="preserve">7</w:t>
                </w:r>
                <w:r w:rsidDel="00000000" w:rsidR="00000000" w:rsidRPr="00000000">
                  <w:fldChar w:fldCharType="begin"/>
                  <w:instrText xml:space="preserve"> PAGEREF _Toc460874434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96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9.3</w:t>
                  <w:tab/>
                  <w:t xml:space="preserve">基于行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为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数据的分析。</w:t>
                  <w:tab/>
                  <w:t xml:space="preserve">7</w:t>
                </w:r>
                <w:r w:rsidDel="00000000" w:rsidR="00000000" w:rsidRPr="00000000">
                  <w:fldChar w:fldCharType="begin"/>
                  <w:instrText xml:space="preserve"> PAGEREF _Toc460874435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72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</w:t>
                  <w:tab/>
                  <w:t xml:space="preserve">自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动审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批模式分析</w:t>
                  <w:tab/>
                  <w:t xml:space="preserve">7</w:t>
                </w:r>
                <w:r w:rsidDel="00000000" w:rsidR="00000000" w:rsidRPr="00000000">
                  <w:fldChar w:fldCharType="begin"/>
                  <w:instrText xml:space="preserve"> PAGEREF _Toc460874436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20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10.1</w:t>
                  <w:tab/>
                  <w:t xml:space="preserve">第三方信用信息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_Toc460874437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68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10.1.1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黑名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单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_Toc460874438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44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10.1.2</w:t>
                  <w:tab/>
                  <w:t xml:space="preserve">行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业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共享数据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_Toc460874439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20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10.2</w:t>
                  <w:tab/>
                  <w:t xml:space="preserve">征信数据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_Toc460874440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44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10.2.1</w:t>
                  <w:tab/>
                  <w:t xml:space="preserve">人行征信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_Toc460874441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680"/>
                    <w:tab w:val="right" w:pos="9010"/>
                  </w:tabs>
                  <w:spacing w:after="0" w:before="0" w:line="240" w:lineRule="auto"/>
                  <w:ind w:left="480" w:right="0" w:firstLine="0"/>
                  <w:contextualSpacing w:val="0"/>
                  <w:jc w:val="left"/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10.2.2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社保授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权和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公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积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金授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权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_Toc460874442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contextualSpacing w:val="0"/>
                  <w:rPr/>
                </w:pPr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10.3</w:t>
                  <w:tab/>
                  <w:t xml:space="preserve">规则引擎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_Toc460874443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20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10.4</w:t>
                  <w:tab/>
                  <w:t xml:space="preserve">大数据分析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_Toc460874444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20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10.5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第三方授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权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_Toc460874445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20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10.6</w:t>
                  <w:tab/>
                  <w:t xml:space="preserve">用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户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行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为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分析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_Toc460874446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1200"/>
                    <w:tab w:val="right" w:pos="9010"/>
                  </w:tabs>
                  <w:spacing w:after="0" w:before="0" w:line="240" w:lineRule="auto"/>
                  <w:ind w:left="24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10.7</w:t>
                  <w:tab/>
                  <w:t xml:space="preserve">打分卡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_Toc460874447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72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11</w:t>
                  <w:tab/>
                  <w:t xml:space="preserve">Fintech技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术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的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发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展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对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P2P行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业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的影响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_Toc460874448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  <w:p w:rsidR="00000000" w:rsidDel="00000000" w:rsidP="00000000" w:rsidRDefault="00000000" w:rsidRPr="00000000">
                <w:pPr>
                  <w:keepNext w:val="0"/>
                  <w:keepLines w:val="0"/>
                  <w:widowControl w:val="0"/>
                  <w:tabs>
                    <w:tab w:val="left" w:pos="720"/>
                    <w:tab w:val="right" w:pos="9010"/>
                  </w:tabs>
                  <w:spacing w:after="0" w:before="0" w:line="240" w:lineRule="auto"/>
                  <w:ind w:left="0" w:right="0" w:firstLine="0"/>
                  <w:contextualSpacing w:val="0"/>
                  <w:jc w:val="left"/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</w:rPr>
                </w:pP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12</w:t>
                  <w:tab/>
                  <w:t xml:space="preserve">P2P行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业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未来</w:t>
                </w:r>
                <w:r w:rsidDel="00000000" w:rsidR="00000000" w:rsidRPr="00000000">
                  <w:rPr>
                    <w:rFonts w:ascii="SimSun" w:cs="SimSun" w:eastAsia="SimSun" w:hAnsi="SimSun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发</w:t>
                </w:r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vertAlign w:val="baseline"/>
                    <w:rtl w:val="0"/>
                  </w:rPr>
                  <w:t xml:space="preserve">展方向</w:t>
                  <w:tab/>
                  <w:t xml:space="preserve">8</w:t>
                </w:r>
                <w:r w:rsidDel="00000000" w:rsidR="00000000" w:rsidRPr="00000000">
                  <w:fldChar w:fldCharType="begin"/>
                  <w:instrText xml:space="preserve"> PAGEREF _Toc460874449 \h </w:instrText>
                  <w:fldChar w:fldCharType="separate"/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>
            <w:pPr>
              <w:contextualSpacing w:val="0"/>
              <w:rPr/>
            </w:pPr>
            <w:hyperlink w:anchor="_Toc460874449">
              <w:r w:rsidDel="00000000" w:rsidR="00000000" w:rsidRPr="00000000">
                <w:rPr>
                  <w:rtl w:val="0"/>
                </w:rPr>
              </w:r>
            </w:hyperlink>
          </w:p>
          <w:p w:rsidR="00000000" w:rsidDel="00000000" w:rsidP="00000000" w:rsidRDefault="00000000" w:rsidRPr="00000000">
            <w:pPr>
              <w:tabs>
                <w:tab w:val="left" w:pos="4140"/>
              </w:tabs>
              <w:spacing w:after="120" w:before="240" w:lineRule="auto"/>
              <w:contextualSpacing w:val="0"/>
              <w:rPr>
                <w:b w:val="1"/>
                <w:u w:val="single"/>
              </w:rPr>
            </w:pPr>
            <w:hyperlink w:anchor="_Toc460874449">
              <w:r w:rsidDel="00000000" w:rsidR="00000000" w:rsidRPr="00000000">
                <w:rPr>
                  <w:rtl w:val="0"/>
                </w:rPr>
              </w:r>
            </w:hyperlink>
          </w:p>
        </w:tc>
      </w:tr>
      <w:tr>
        <w:trPr>
          <w:trHeight w:val="72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主要参考文献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100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Moenninghoff, S., Wieandt, A. </w:t>
            </w:r>
            <w:hyperlink r:id="rId5">
              <w:r w:rsidDel="00000000" w:rsidR="00000000" w:rsidRPr="00000000">
                <w:rPr>
                  <w:rFonts w:ascii="Helvetica Neue" w:cs="Helvetica Neue" w:eastAsia="Helvetica Neue" w:hAnsi="Helvetica Neue"/>
                  <w:i w:val="1"/>
                  <w:color w:val="663366"/>
                  <w:sz w:val="19"/>
                  <w:szCs w:val="19"/>
                  <w:rtl w:val="0"/>
                </w:rPr>
                <w:t xml:space="preserve">"The Future of Peer-to-Peer Finance"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. Retrieved May 20, 2014.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b0080"/>
                  <w:sz w:val="19"/>
                  <w:szCs w:val="19"/>
                  <w:rtl w:val="0"/>
                </w:rPr>
                <w:t xml:space="preserve">Jump up^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Lepro, Sara (December 20, 2010). </w:t>
            </w: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i w:val="1"/>
                  <w:color w:val="663366"/>
                  <w:sz w:val="19"/>
                  <w:szCs w:val="19"/>
                  <w:rtl w:val="0"/>
                </w:rPr>
                <w:t xml:space="preserve">"Prosper Ditches Auction Pricing for Model Like P-to-P Rival's"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. </w:t>
            </w:r>
            <w:hyperlink r:id="rId8">
              <w:r w:rsidDel="00000000" w:rsidR="00000000" w:rsidRPr="00000000">
                <w:rPr>
                  <w:rFonts w:ascii="Helvetica Neue" w:cs="Helvetica Neue" w:eastAsia="Helvetica Neue" w:hAnsi="Helvetica Neue"/>
                  <w:i w:val="1"/>
                  <w:color w:val="0b0080"/>
                  <w:sz w:val="19"/>
                  <w:szCs w:val="19"/>
                  <w:rtl w:val="0"/>
                </w:rPr>
                <w:t xml:space="preserve">American Banker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. Retrieved July 31, 2012.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hyperlink r:id="rId9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b0080"/>
                  <w:sz w:val="19"/>
                  <w:szCs w:val="19"/>
                  <w:rtl w:val="0"/>
                </w:rPr>
                <w:t xml:space="preserve">Jump up^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J. D. Roth </w:t>
            </w:r>
            <w:hyperlink r:id="rId10">
              <w:r w:rsidDel="00000000" w:rsidR="00000000" w:rsidRPr="00000000">
                <w:rPr>
                  <w:rFonts w:ascii="Helvetica Neue" w:cs="Helvetica Neue" w:eastAsia="Helvetica Neue" w:hAnsi="Helvetica Neue"/>
                  <w:color w:val="663366"/>
                  <w:sz w:val="19"/>
                  <w:szCs w:val="19"/>
                  <w:rtl w:val="0"/>
                </w:rPr>
                <w:t xml:space="preserve">Taking a Peek at Peer-to-Peer Lending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hyperlink r:id="rId11">
              <w:r w:rsidDel="00000000" w:rsidR="00000000" w:rsidRPr="00000000">
                <w:rPr>
                  <w:rFonts w:ascii="Helvetica Neue" w:cs="Helvetica Neue" w:eastAsia="Helvetica Neue" w:hAnsi="Helvetica Neue"/>
                  <w:color w:val="0b0080"/>
                  <w:sz w:val="19"/>
                  <w:szCs w:val="19"/>
                  <w:rtl w:val="0"/>
                </w:rPr>
                <w:t xml:space="preserve">Time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November 15, 2012; Accessed March 22, 2013.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hyperlink r:id="rId12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b0080"/>
                  <w:sz w:val="19"/>
                  <w:szCs w:val="19"/>
                  <w:rtl w:val="0"/>
                </w:rPr>
                <w:t xml:space="preserve">Jump up^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Robert E. Wright; Vincenzo Quadrini. </w:t>
            </w:r>
            <w:hyperlink r:id="rId13">
              <w:r w:rsidDel="00000000" w:rsidR="00000000" w:rsidRPr="00000000">
                <w:rPr>
                  <w:rFonts w:ascii="Helvetica Neue" w:cs="Helvetica Neue" w:eastAsia="Helvetica Neue" w:hAnsi="Helvetica Neue"/>
                  <w:i w:val="1"/>
                  <w:color w:val="663366"/>
                  <w:sz w:val="19"/>
                  <w:szCs w:val="19"/>
                  <w:rtl w:val="0"/>
                </w:rPr>
                <w:t xml:space="preserve">Chapter 2 Section 5: Financial Intermediaries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6"/>
                <w:szCs w:val="16"/>
                <w:rtl w:val="0"/>
              </w:rPr>
              <w:t xml:space="preserve">(PDF)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. Retrieved August 5, 2012.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^ </w:t>
            </w:r>
            <w:hyperlink r:id="rId14">
              <w:r w:rsidDel="00000000" w:rsidR="00000000" w:rsidRPr="00000000">
                <w:rPr>
                  <w:rFonts w:ascii="Helvetica Neue" w:cs="Helvetica Neue" w:eastAsia="Helvetica Neue" w:hAnsi="Helvetica Neue"/>
                  <w:color w:val="0b0080"/>
                  <w:sz w:val="19"/>
                  <w:szCs w:val="19"/>
                  <w:rtl w:val="0"/>
                </w:rPr>
                <w:t xml:space="preserve">Jump up to:</w:t>
              </w:r>
            </w:hyperlink>
            <w:hyperlink r:id="rId15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i w:val="1"/>
                  <w:color w:val="0b0080"/>
                  <w:sz w:val="15"/>
                  <w:szCs w:val="15"/>
                  <w:vertAlign w:val="superscript"/>
                  <w:rtl w:val="0"/>
                </w:rPr>
                <w:t xml:space="preserve">a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hyperlink r:id="rId1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i w:val="1"/>
                  <w:color w:val="0b0080"/>
                  <w:sz w:val="15"/>
                  <w:szCs w:val="15"/>
                  <w:vertAlign w:val="superscript"/>
                  <w:rtl w:val="0"/>
                </w:rPr>
                <w:t xml:space="preserve">b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hyperlink r:id="rId17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i w:val="1"/>
                  <w:color w:val="0b0080"/>
                  <w:sz w:val="15"/>
                  <w:szCs w:val="15"/>
                  <w:vertAlign w:val="superscript"/>
                  <w:rtl w:val="0"/>
                </w:rPr>
                <w:t xml:space="preserve">c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Bradley, Christine; Burhouse, Susan; Gratton, Heather; Miller, Rae-Ann (2009). </w:t>
            </w:r>
            <w:hyperlink r:id="rId18">
              <w:r w:rsidDel="00000000" w:rsidR="00000000" w:rsidRPr="00000000">
                <w:rPr>
                  <w:rFonts w:ascii="Helvetica Neue" w:cs="Helvetica Neue" w:eastAsia="Helvetica Neue" w:hAnsi="Helvetica Neue"/>
                  <w:i w:val="1"/>
                  <w:color w:val="663366"/>
                  <w:sz w:val="19"/>
                  <w:szCs w:val="19"/>
                  <w:rtl w:val="0"/>
                </w:rPr>
                <w:t xml:space="preserve">"Alternative Financial Services: A Primer"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. FDIC Quarterly. 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1"/>
                <w:color w:val="252525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 (Q1). </w:t>
            </w:r>
            <w:hyperlink r:id="rId19">
              <w:r w:rsidDel="00000000" w:rsidR="00000000" w:rsidRPr="00000000">
                <w:rPr>
                  <w:rFonts w:ascii="Helvetica Neue" w:cs="Helvetica Neue" w:eastAsia="Helvetica Neue" w:hAnsi="Helvetica Neue"/>
                  <w:i w:val="1"/>
                  <w:color w:val="0b0080"/>
                  <w:sz w:val="19"/>
                  <w:szCs w:val="19"/>
                  <w:rtl w:val="0"/>
                </w:rPr>
                <w:t xml:space="preserve">Federal Deposit Insurance Corporation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. RetrievedJuly 30, 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hyperlink r:id="rId20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b0080"/>
                  <w:sz w:val="19"/>
                  <w:szCs w:val="19"/>
                  <w:rtl w:val="0"/>
                </w:rPr>
                <w:t xml:space="preserve">Jump up^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zopa.com </w:t>
            </w:r>
            <w:hyperlink r:id="rId21">
              <w:r w:rsidDel="00000000" w:rsidR="00000000" w:rsidRPr="00000000">
                <w:rPr>
                  <w:rFonts w:ascii="Helvetica Neue" w:cs="Helvetica Neue" w:eastAsia="Helvetica Neue" w:hAnsi="Helvetica Neue"/>
                  <w:color w:val="663366"/>
                  <w:sz w:val="19"/>
                  <w:szCs w:val="19"/>
                  <w:rtl w:val="0"/>
                </w:rPr>
                <w:t xml:space="preserve">Key facts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; Accessed June 26, 2016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hyperlink r:id="rId22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b0080"/>
                  <w:sz w:val="19"/>
                  <w:szCs w:val="19"/>
                  <w:rtl w:val="0"/>
                </w:rPr>
                <w:t xml:space="preserve">Jump up^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Patrick Collinson (August 28, 2010). </w:t>
            </w:r>
            <w:hyperlink r:id="rId23">
              <w:r w:rsidDel="00000000" w:rsidR="00000000" w:rsidRPr="00000000">
                <w:rPr>
                  <w:rFonts w:ascii="Helvetica Neue" w:cs="Helvetica Neue" w:eastAsia="Helvetica Neue" w:hAnsi="Helvetica Neue"/>
                  <w:i w:val="1"/>
                  <w:color w:val="663366"/>
                  <w:sz w:val="19"/>
                  <w:szCs w:val="19"/>
                  <w:rtl w:val="0"/>
                </w:rPr>
                <w:t xml:space="preserve">"Peer-to-peer lending and saving: Making everyone happy"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. The Guardian.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hyperlink r:id="rId24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b0080"/>
                  <w:sz w:val="19"/>
                  <w:szCs w:val="19"/>
                  <w:rtl w:val="0"/>
                </w:rPr>
                <w:t xml:space="preserve">Jump up^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fundingcircle.com </w:t>
            </w:r>
            <w:hyperlink r:id="rId25">
              <w:r w:rsidDel="00000000" w:rsidR="00000000" w:rsidRPr="00000000">
                <w:rPr>
                  <w:rFonts w:ascii="Helvetica Neue" w:cs="Helvetica Neue" w:eastAsia="Helvetica Neue" w:hAnsi="Helvetica Neue"/>
                  <w:color w:val="663366"/>
                  <w:sz w:val="19"/>
                  <w:szCs w:val="19"/>
                  <w:rtl w:val="0"/>
                </w:rPr>
                <w:t xml:space="preserve">Statistics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; Retrieved March 31, 2016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hyperlink r:id="rId26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b0080"/>
                  <w:sz w:val="19"/>
                  <w:szCs w:val="19"/>
                  <w:rtl w:val="0"/>
                </w:rPr>
                <w:t xml:space="preserve">Jump up^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Kiki Loizou (October 20, 2013). </w:t>
            </w:r>
            <w:hyperlink r:id="rId27">
              <w:r w:rsidDel="00000000" w:rsidR="00000000" w:rsidRPr="00000000">
                <w:rPr>
                  <w:rFonts w:ascii="Helvetica Neue" w:cs="Helvetica Neue" w:eastAsia="Helvetica Neue" w:hAnsi="Helvetica Neue"/>
                  <w:i w:val="1"/>
                  <w:color w:val="663366"/>
                  <w:sz w:val="19"/>
                  <w:szCs w:val="19"/>
                  <w:rtl w:val="0"/>
                </w:rPr>
                <w:t xml:space="preserve">"Start-ups to the power of three"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252525"/>
                <w:sz w:val="19"/>
                <w:szCs w:val="19"/>
                <w:rtl w:val="0"/>
              </w:rPr>
              <w:t xml:space="preserve">. The Sunday Times.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" w:before="256" w:lineRule="auto"/>
              <w:ind w:left="768" w:hanging="360"/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</w:rPr>
            </w:pPr>
            <w:hyperlink r:id="rId28">
              <w:r w:rsidDel="00000000" w:rsidR="00000000" w:rsidRPr="00000000">
                <w:rPr>
                  <w:rFonts w:ascii="Helvetica Neue" w:cs="Helvetica Neue" w:eastAsia="Helvetica Neue" w:hAnsi="Helvetica Neue"/>
                  <w:b w:val="1"/>
                  <w:color w:val="0b0080"/>
                  <w:sz w:val="19"/>
                  <w:szCs w:val="19"/>
                  <w:rtl w:val="0"/>
                </w:rPr>
                <w:t xml:space="preserve">Jump up^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 </w:t>
            </w:r>
            <w:hyperlink r:id="rId29">
              <w:r w:rsidDel="00000000" w:rsidR="00000000" w:rsidRPr="00000000">
                <w:rPr>
                  <w:rFonts w:ascii="Helvetica Neue" w:cs="Helvetica Neue" w:eastAsia="Helvetica Neue" w:hAnsi="Helvetica Neue"/>
                  <w:color w:val="663366"/>
                  <w:sz w:val="19"/>
                  <w:szCs w:val="19"/>
                  <w:rtl w:val="0"/>
                </w:rPr>
                <w:t xml:space="preserve">Members of the Peer-to-Peer Finance Association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color w:val="252525"/>
                <w:sz w:val="19"/>
                <w:szCs w:val="19"/>
                <w:rtl w:val="0"/>
              </w:rPr>
              <w:t xml:space="preserve">; Accessed June 26, 2016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spacing w:after="120" w:before="240" w:lineRule="auto"/>
              <w:contextualSpacing w:val="0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" w:hRule="atLeast"/>
        </w:trPr>
        <w:tc>
          <w:tcPr>
            <w:gridSpan w:val="11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论文进度及时间安排</w:t>
            </w:r>
            <w:r w:rsidDel="00000000" w:rsidR="00000000" w:rsidRPr="00000000">
              <w:rPr>
                <w:rtl w:val="0"/>
              </w:rPr>
              <w:t xml:space="preserve"> Progress and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gridSpan w:val="2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起止日期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 (from… to…)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主要工作内容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预期结果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Expecting Achievement</w:t>
            </w:r>
          </w:p>
        </w:tc>
      </w:tr>
      <w:tr>
        <w:trPr>
          <w:trHeight w:val="460" w:hRule="atLeast"/>
        </w:trPr>
        <w:tc>
          <w:tcPr>
            <w:gridSpan w:val="2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2016.06.20 －2016.07.18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论文选题调研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完成论文选题</w:t>
            </w:r>
          </w:p>
        </w:tc>
      </w:tr>
      <w:tr>
        <w:trPr>
          <w:trHeight w:val="460" w:hRule="atLeast"/>
        </w:trPr>
        <w:tc>
          <w:tcPr>
            <w:gridSpan w:val="2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2016.07.19 －2016.09.23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论文资料搜集，整理思路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完成开题报告</w:t>
            </w:r>
          </w:p>
        </w:tc>
      </w:tr>
      <w:tr>
        <w:trPr>
          <w:trHeight w:val="460" w:hRule="atLeast"/>
        </w:trPr>
        <w:tc>
          <w:tcPr>
            <w:gridSpan w:val="2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2016.09.23 －2016.12.11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按照论文大纲阅读相关资料，理论研究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完成论文初稿</w:t>
            </w:r>
          </w:p>
        </w:tc>
      </w:tr>
      <w:tr>
        <w:trPr>
          <w:trHeight w:val="440" w:hRule="atLeast"/>
        </w:trPr>
        <w:tc>
          <w:tcPr>
            <w:gridSpan w:val="2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2016.12.12 － 2017.02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与导师进行沟通，修订论文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完成论文终稿</w:t>
            </w:r>
          </w:p>
        </w:tc>
      </w:tr>
      <w:tr>
        <w:trPr>
          <w:trHeight w:val="1060" w:hRule="atLeast"/>
        </w:trPr>
        <w:tc>
          <w:tcPr>
            <w:gridSpan w:val="2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跟导师见面次数、预计时间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Meeting Schedule with Supervisor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预计不少于三次，2016年11月，以及2017年2月和4月</w:t>
            </w:r>
          </w:p>
        </w:tc>
      </w:tr>
      <w:tr>
        <w:trPr>
          <w:trHeight w:val="1440" w:hRule="atLeast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学生签名</w:t>
            </w:r>
            <w:r w:rsidDel="00000000" w:rsidR="00000000" w:rsidRPr="00000000">
              <w:rPr>
                <w:rtl w:val="0"/>
              </w:rPr>
              <w:t xml:space="preserve">Signature by Student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drawing>
                <wp:inline distB="0" distT="0" distL="0" distR="0">
                  <wp:extent cx="1843405" cy="966470"/>
                  <wp:effectExtent b="0" l="0" r="0" t="0"/>
                  <wp:docPr id="1" name="image01.png"/>
                  <a:graphic>
                    <a:graphicData uri="http://schemas.openxmlformats.org/drawingml/2006/picture">
                      <pic:pic>
                        <pic:nvPicPr>
                          <pic:cNvPr id="0" name="image01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405" cy="966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ind w:firstLine="120"/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日期Date 2016.09.15</w:t>
            </w:r>
          </w:p>
        </w:tc>
        <w:tc>
          <w:tcPr>
            <w:gridSpan w:val="6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rtl w:val="0"/>
              </w:rPr>
              <w:t xml:space="preserve">导师签名</w:t>
            </w:r>
            <w:r w:rsidDel="00000000" w:rsidR="00000000" w:rsidRPr="00000000">
              <w:rPr>
                <w:rtl w:val="0"/>
              </w:rPr>
              <w:t xml:space="preserve">Signature by Supervisor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ind w:firstLine="240"/>
              <w:contextualSpacing w:val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日期Date 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>
                <w:rFonts w:ascii="宋体" w:cs="宋体" w:eastAsia="宋体" w:hAnsi="宋体"/>
              </w:rPr>
            </w:pPr>
            <w:r w:rsidDel="00000000" w:rsidR="00000000" w:rsidRPr="00000000">
              <w:rPr>
                <w:rFonts w:ascii="宋体" w:cs="宋体" w:eastAsia="宋体" w:hAnsi="宋体"/>
                <w:rtl w:val="0"/>
              </w:rPr>
              <w:t xml:space="preserve">注：此表需获导师签字后上传学生门户“开题系统”。</w:t>
            </w:r>
          </w:p>
          <w:p w:rsidR="00000000" w:rsidDel="00000000" w:rsidP="00000000" w:rsidRDefault="00000000" w:rsidRPr="00000000">
            <w:pPr>
              <w:tabs>
                <w:tab w:val="left" w:pos="4140"/>
              </w:tabs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Note: Please upload the signed and complete form on student portal “Thesis Subject Submit System” before </w:t>
            </w:r>
            <w:r w:rsidDel="00000000" w:rsidR="00000000" w:rsidRPr="00000000">
              <w:rPr>
                <w:b w:val="1"/>
                <w:rtl w:val="0"/>
              </w:rPr>
              <w:t xml:space="preserve">Sept. 23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rtl w:val="0"/>
              </w:rPr>
              <w:t xml:space="preserve">, 17:00, 2016.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Georgia"/>
  <w:font w:name="Gungsuh"/>
  <w:font w:name="Calibri"/>
  <w:font w:name="SimSun"/>
  <w:font w:name="宋体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440" w:firstLine="1080"/>
      </w:pPr>
      <w:rPr/>
    </w:lvl>
    <w:lvl w:ilvl="2">
      <w:start w:val="1"/>
      <w:numFmt w:val="decimal"/>
      <w:lvlText w:val="%3."/>
      <w:lvlJc w:val="left"/>
      <w:pPr>
        <w:ind w:left="2160" w:firstLine="180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decimal"/>
      <w:lvlText w:val="%5."/>
      <w:lvlJc w:val="left"/>
      <w:pPr>
        <w:ind w:left="3600" w:firstLine="3240"/>
      </w:pPr>
      <w:rPr/>
    </w:lvl>
    <w:lvl w:ilvl="5">
      <w:start w:val="1"/>
      <w:numFmt w:val="decimal"/>
      <w:lvlText w:val="%6."/>
      <w:lvlJc w:val="left"/>
      <w:pPr>
        <w:ind w:left="4320" w:firstLine="396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decimal"/>
      <w:lvlText w:val="%8."/>
      <w:lvlJc w:val="left"/>
      <w:pPr>
        <w:ind w:left="5760" w:firstLine="5400"/>
      </w:pPr>
      <w:rPr/>
    </w:lvl>
    <w:lvl w:ilvl="8">
      <w:start w:val="1"/>
      <w:numFmt w:val="decimal"/>
      <w:lvlText w:val="%9."/>
      <w:lvlJc w:val="left"/>
      <w:pPr>
        <w:ind w:left="6480" w:firstLine="61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Peer-to-peer_lending#cite_ref-6" TargetMode="External"/><Relationship Id="rId22" Type="http://schemas.openxmlformats.org/officeDocument/2006/relationships/hyperlink" Target="https://en.wikipedia.org/wiki/Peer-to-peer_lending#cite_ref-7" TargetMode="External"/><Relationship Id="rId21" Type="http://schemas.openxmlformats.org/officeDocument/2006/relationships/hyperlink" Target="https://www.zopa.com/about" TargetMode="External"/><Relationship Id="rId24" Type="http://schemas.openxmlformats.org/officeDocument/2006/relationships/hyperlink" Target="https://en.wikipedia.org/wiki/Peer-to-peer_lending#cite_ref-8" TargetMode="External"/><Relationship Id="rId23" Type="http://schemas.openxmlformats.org/officeDocument/2006/relationships/hyperlink" Target="http://www.theguardian.com/money/2010/aug/28/peer-to-peer-borrowing-lending-funding-circle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en.wikipedia.org/wiki/Peer-to-peer_lending#cite_ref-3" TargetMode="External"/><Relationship Id="rId26" Type="http://schemas.openxmlformats.org/officeDocument/2006/relationships/hyperlink" Target="https://en.wikipedia.org/wiki/Peer-to-peer_lending#cite_ref-9" TargetMode="External"/><Relationship Id="rId25" Type="http://schemas.openxmlformats.org/officeDocument/2006/relationships/hyperlink" Target="https://www.fundingcircle.com/statistics" TargetMode="External"/><Relationship Id="rId28" Type="http://schemas.openxmlformats.org/officeDocument/2006/relationships/hyperlink" Target="https://en.wikipedia.org/wiki/Peer-to-peer_lending#cite_ref-10" TargetMode="External"/><Relationship Id="rId27" Type="http://schemas.openxmlformats.org/officeDocument/2006/relationships/hyperlink" Target="http://www.thesundaytimes.co.uk/sto/business/small_business/article1329287.ece" TargetMode="External"/><Relationship Id="rId5" Type="http://schemas.openxmlformats.org/officeDocument/2006/relationships/hyperlink" Target="http://papers.ssrn.com/sol3/papers.cfm?abstract_id=2439088" TargetMode="External"/><Relationship Id="rId6" Type="http://schemas.openxmlformats.org/officeDocument/2006/relationships/hyperlink" Target="https://en.wikipedia.org/wiki/Peer-to-peer_lending#cite_ref-ab1_2-0" TargetMode="External"/><Relationship Id="rId29" Type="http://schemas.openxmlformats.org/officeDocument/2006/relationships/hyperlink" Target="http://p2pfa.info/p2pfa-members" TargetMode="External"/><Relationship Id="rId7" Type="http://schemas.openxmlformats.org/officeDocument/2006/relationships/hyperlink" Target="http://www.americanbanker.com/issues/175_243/prosper-lending-club-1030207-1.html" TargetMode="External"/><Relationship Id="rId8" Type="http://schemas.openxmlformats.org/officeDocument/2006/relationships/hyperlink" Target="https://en.wikipedia.org/wiki/American_Banker" TargetMode="External"/><Relationship Id="rId30" Type="http://schemas.openxmlformats.org/officeDocument/2006/relationships/image" Target="media/image01.png"/><Relationship Id="rId11" Type="http://schemas.openxmlformats.org/officeDocument/2006/relationships/hyperlink" Target="https://en.wikipedia.org/wiki/Time_(magazine)" TargetMode="External"/><Relationship Id="rId10" Type="http://schemas.openxmlformats.org/officeDocument/2006/relationships/hyperlink" Target="http://business.time.com/2012/11/15/taking-a-peek-at-peer-to-peer-lending/" TargetMode="External"/><Relationship Id="rId13" Type="http://schemas.openxmlformats.org/officeDocument/2006/relationships/hyperlink" Target="http://www.saylor.org/site/wp-content/uploads/2012/06/ECON302-1.2-1st.pdf" TargetMode="External"/><Relationship Id="rId12" Type="http://schemas.openxmlformats.org/officeDocument/2006/relationships/hyperlink" Target="https://en.wikipedia.org/wiki/Peer-to-peer_lending#cite_ref-mab_4-0" TargetMode="External"/><Relationship Id="rId15" Type="http://schemas.openxmlformats.org/officeDocument/2006/relationships/hyperlink" Target="https://en.wikipedia.org/wiki/Peer-to-peer_lending#cite_ref-Bradley_5-0" TargetMode="External"/><Relationship Id="rId14" Type="http://schemas.openxmlformats.org/officeDocument/2006/relationships/hyperlink" Target="https://en.wikipedia.org/wiki/Peer-to-peer_lending#cite_ref-Bradley_5-0" TargetMode="External"/><Relationship Id="rId17" Type="http://schemas.openxmlformats.org/officeDocument/2006/relationships/hyperlink" Target="https://en.wikipedia.org/wiki/Peer-to-peer_lending#cite_ref-Bradley_5-2" TargetMode="External"/><Relationship Id="rId16" Type="http://schemas.openxmlformats.org/officeDocument/2006/relationships/hyperlink" Target="https://en.wikipedia.org/wiki/Peer-to-peer_lending#cite_ref-Bradley_5-1" TargetMode="External"/><Relationship Id="rId19" Type="http://schemas.openxmlformats.org/officeDocument/2006/relationships/hyperlink" Target="https://en.wikipedia.org/wiki/Federal_Deposit_Insurance_Corporation" TargetMode="External"/><Relationship Id="rId18" Type="http://schemas.openxmlformats.org/officeDocument/2006/relationships/hyperlink" Target="http://www.fdic.gov/bank/analytical/quarterly/2009_vol3_1/AltFinServicesprimer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