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B595D">
      <w:pPr>
        <w:pStyle w:val="2"/>
        <w:keepNext w:val="0"/>
        <w:keepLines w:val="0"/>
        <w:widowControl/>
        <w:suppressLineNumbers w:val="0"/>
        <w:rPr>
          <w:rFonts w:hint="default" w:asciiTheme="minorEastAsia" w:hAnsiTheme="minorEastAsia" w:eastAsia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二、文献综述</w:t>
      </w:r>
    </w:p>
    <w:p w14:paraId="318AFA5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2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机器学习与基金绩效预测研究建立在共同基金绩效评价文献的基础之上。早期共同基金研究主要关注基金经理能力的识别与度量，Jensen（1968）基于资本资产定价模型提出以风险调整后的 alpha 衡量基金绩效，为后续基金经理能力研究提供了基本评价框架。然而，单因子 alpha 难以充分剔除基金收益中由不同投资风格和系统性风险暴露带来的影响，因此后续研究逐渐转向更精细的多因子调整方法。Carhart（1997）在共同基金绩效研究中引入四因子模型，发现基金业绩持续性在控制市场、规模、价值和动量因子后显著减弱，说明传统基金超额收益可能部分来自因子暴露和费用结构，而非单纯的经理能力。在此基础上，Berk and Green（2004）进一步从理论层面解释了基金能力与基金绩效之间可能存在的差异：即使基金经理具有投资能力，资金流入和规模报酬递减也可能使基金持续 alpha 被逐步压缩。Fama and French（2010）则从实证层面区分基金绩效中的运气与能力，发现扣除成本后能够持续产生显著风险调整收益的基金数量有限。上述研究表明，基金绩效预测的关键并不只是判断基金是否曾经获得超额收益，而在于能否在风险调整、成本约束和动态市场状态下识别具有未来表现优势的基金。随着金融数据维度提高，传统线性模型在处理高维变量、非线性关系和交互效应方面存在限制，机器学习方法因而被引入资产收益预测和基金能力识别研究。Gu et al.（2020）表明，机器学习模型能够在高维特征环境下捕捉传统线性模型难以识别的非线性关系和变量交互；Freyberger et al.（2020）进一步指出，非参数方法有助于在大量资产特征中识别真正具有独立信息含量的变量；Chen et al.（2024）则将深度学习用于条件资产定价，强调深度神经网络能够利用高维条件信息刻画收益结构随经济状态变化的特征。在共同基金研究中，Kaniel et al.（2023）将机器学习方法直接用于基金经理能力识别，使用前馈神经网络预测基金下一期异常收益，并将预测对象设定为经 Carhart 四因子模型调整后的 abnormal fund return，而非普通原始收益。该研究发现，fund flow、fund momentum 及其与 investor sentiment 的交互是区分未来高绩效基金和低绩效基金的关键信息，从而将共同基金绩效预测从传统线性评价推进到高维、非线性和状态依赖的机器学习框架。</w:t>
      </w:r>
    </w:p>
    <w:p w14:paraId="1698A19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2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机器学习方法为识别未来高绩效基金提供了新的预测工具，但基金经理能力的经济含义仍需要结合基金真实投资行为加以理解。因此，与基于收益序列的绩效预测</w:t>
      </w:r>
      <w:r>
        <w:rPr>
          <w:rFonts w:hint="eastAsia" w:asciiTheme="minorEastAsia" w:hAnsiTheme="minorEastAsia" w:eastAsiaTheme="minorEastAsia" w:cstheme="minorEastAsia"/>
          <w:sz w:val="24"/>
          <w:szCs w:val="24"/>
          <w:lang w:val="en-US" w:eastAsia="zh-CN"/>
        </w:rPr>
        <w:t>研究</w:t>
      </w:r>
      <w:r>
        <w:rPr>
          <w:rFonts w:hint="eastAsia" w:asciiTheme="minorEastAsia" w:hAnsiTheme="minorEastAsia" w:eastAsiaTheme="minorEastAsia" w:cstheme="minorEastAsia"/>
          <w:sz w:val="24"/>
          <w:szCs w:val="24"/>
        </w:rPr>
        <w:t>相对应，共同基金持仓研究从组合层面刻画基金经理的选股、配置和主动管理行为。Wermers（2000）较早利用共同基金持仓数据分解基金绩效，将基金收益来源区分为选股能力、投资风格、交易成本和费用等部分，说明持仓信息能够为理解基金收益来源提供比收益回归更直接的证据。在此基础上，Cohen et al.（2005）从基金持仓相似性的角度评价基金经理能力，进一步表明基金投资组合本身包含经理选股决策和信息处理能力的线索。沿着“持仓结构反映能力”的思路，Kacperczyk et al.（2005）将研究视角由个股选择推进到行业配置，发现主动管理基金可能集中投资于其具有信息优势的行业，因而行业集中度成为刻画基金经理能力的重要维度。Cremers and Petajisto（2009）则从基金相对于基准组合的偏离程度出发提出 Active Share 指标，将持仓偏离与主动管理强度联系起来，进一步丰富了持仓层面的基金能力度量。上述研究主要基于已披露持仓刻画基金的组合结构，而 Kacperczyk et al.（2008）进一步关注披露间隔内不可完全观测的交易行为，提出 return gap 衡量基金实际收益与基于已披露持仓构造的静态组合收益之间的差异，从而补充识别基金经理的动态调仓能力。由此，持仓文献从绩效分解、持仓相似性、行业集中度、主动偏离和披露间隔交易等角度，逐步揭示了基金经理能力在真实投资组合中的具体表现形式，也为进一步解释机器学习识别出的高绩效基金提供了组合层面的分析基础。</w:t>
      </w:r>
    </w:p>
    <w:p w14:paraId="024C5DB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2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在机器学习基金绩效预测和共同基金持仓研究之间，模型可解释性与投资风格分析构成了重要连接。机器学习</w:t>
      </w:r>
      <w:r>
        <w:rPr>
          <w:rFonts w:hint="eastAsia" w:asciiTheme="minorEastAsia" w:hAnsiTheme="minorEastAsia" w:eastAsiaTheme="minorEastAsia" w:cstheme="minorEastAsia"/>
          <w:sz w:val="24"/>
          <w:szCs w:val="24"/>
          <w:lang w:val="en-US" w:eastAsia="zh-CN"/>
        </w:rPr>
        <w:t>类研究</w:t>
      </w:r>
      <w:r>
        <w:rPr>
          <w:rFonts w:hint="eastAsia" w:asciiTheme="minorEastAsia" w:hAnsiTheme="minorEastAsia" w:eastAsiaTheme="minorEastAsia" w:cstheme="minorEastAsia"/>
          <w:sz w:val="24"/>
          <w:szCs w:val="24"/>
        </w:rPr>
        <w:t>强调高维变量、非线性关系和交互效应对于预测基金异常收益的重要性，但复杂模型形成的预测排序需要进一步转化为可理解的经济含义。Gu et al.（2020）和 Freyberger et al.（2020）表明，复杂模型的预测优势往往来自非线性特征组合和高维变量中的有效信息提取，因此对预测结果的解释不应仅停留在模型准确率或组合收益层面，而应进一步考察模型所识别对象是否具有可观察的经济特征。Kaniel et al.（2023）已经通过信息集比较和 sentiment 交互效应说明 fund flow、fund momentum 与市场情绪在基金异常收益预测中的作用，并发现仅使用 flow、fund momentum 和 sentiment 等变量即可捕捉较大部分预测能力。该发现为理解机器学习选基结果提供了重要线索，但其解释重点主要集中在预测变量与未来异常收益之间的关系。与此相补充，Wermers（2000）、Kacperczyk et al.（2005）、Kacperczyk et al.（2008）和 Cremers and Petajisto（2009）等持仓研究表明，持仓集中度、行业配置、主动偏离、调仓行为和核心持仓稳定性能够从组合层面揭示基金经理的投资风格。因此，将机器学习预测结果与基金真实持仓特征相结合，可以在保持预测框架一致性的同时，从投资风格和组合行为角度增强模型识别结果的经济可解释性。</w:t>
      </w:r>
    </w:p>
    <w:p w14:paraId="2C87E63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2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上述文献，本文的扩展在于将机器学习选基结果与共同基金真实持仓风格直接连接起来。已有研究一方面证明机器学习方法能够利用基金特征、基金动量、资金流和市场情绪识别未来表现更好的基金，另一方面也表明基金持仓能够反映经理的选股、行业配置、主动管理和调仓行为，但两类文献之间仍缺少直接衔接。本文严格沿用 Kaniel et al.（2023）的机器学习预测框架和 prediction-sorted decile 定义，将每月样本外预测异常收益最高的第十十分位基金界定为 top fund，而不使用 S12 数据重新构造基金能力指标或重新定义好基金。在此基础上，本文进一步利用 WRDS Mutual Fund Holdings - S12 的季度持仓数据，考察 D10 基金相对于其他基金是否在持仓集中度、行业集中度、股票风格暴露、调仓强度和核心持仓稳定性等方面具有系统性差异。由此，本文既延续了机器学习文献对基金未来异常收益的预测逻辑，又吸收了持仓文献对基金经理真实投资行为的解释思路，从而在不改变原文 top fund 定义的前提下，为机器学习识别出的高绩效基金提供持仓层面的经济解释。</w:t>
      </w:r>
    </w:p>
    <w:p w14:paraId="1649AAAF">
      <w:pPr>
        <w:keepNext w:val="0"/>
        <w:keepLines w:val="0"/>
        <w:pageBreakBefore w:val="0"/>
        <w:kinsoku/>
        <w:wordWrap/>
        <w:overflowPunct/>
        <w:topLinePunct w:val="0"/>
        <w:autoSpaceDE/>
        <w:autoSpaceDN/>
        <w:bidi w:val="0"/>
        <w:adjustRightInd/>
        <w:snapToGrid/>
        <w:spacing w:beforeAutospacing="0" w:afterAutospacing="0" w:line="320" w:lineRule="exact"/>
        <w:textAlignment w:val="auto"/>
        <w:rPr>
          <w:rFonts w:hint="eastAsia" w:asciiTheme="minorEastAsia" w:hAnsiTheme="minorEastAsia" w:eastAsiaTheme="minorEastAsia" w:cstheme="minorEastAsia"/>
          <w:sz w:val="24"/>
          <w:szCs w:val="24"/>
        </w:rPr>
      </w:pPr>
    </w:p>
    <w:p w14:paraId="2685E915">
      <w:pPr>
        <w:keepNext w:val="0"/>
        <w:keepLines w:val="0"/>
        <w:pageBreakBefore w:val="0"/>
        <w:kinsoku/>
        <w:wordWrap/>
        <w:overflowPunct/>
        <w:topLinePunct w:val="0"/>
        <w:autoSpaceDE/>
        <w:autoSpaceDN/>
        <w:bidi w:val="0"/>
        <w:adjustRightInd/>
        <w:snapToGrid/>
        <w:spacing w:beforeAutospacing="0" w:afterAutospacing="0" w:line="320" w:lineRule="exac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参考文献：</w:t>
      </w:r>
    </w:p>
    <w:p w14:paraId="164643FF">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BERK J B, GREEN R C. Mutual fund flows and performance in rational markets[J]. Journal of Political Economy, 2004, 112(6): 1269-1295.</w:t>
      </w:r>
    </w:p>
    <w:p w14:paraId="70E56BF4">
      <w:pPr>
        <w:keepNext w:val="0"/>
        <w:keepLines w:val="0"/>
        <w:pageBreakBefore w:val="0"/>
        <w:kinsoku/>
        <w:wordWrap/>
        <w:overflowPunct/>
        <w:topLinePunct w:val="0"/>
        <w:autoSpaceDE/>
        <w:autoSpaceDN/>
        <w:bidi w:val="0"/>
        <w:adjustRightInd/>
        <w:snapToGrid/>
        <w:spacing w:beforeAutospacing="0" w:afterAutospacing="0" w:line="320" w:lineRule="exact"/>
        <w:ind w:firstLineChars="0"/>
        <w:textAlignment w:val="auto"/>
        <w:rPr>
          <w:rFonts w:hint="eastAsia" w:asciiTheme="minorEastAsia" w:hAnsiTheme="minorEastAsia" w:cstheme="minorEastAsia"/>
          <w:sz w:val="24"/>
          <w:szCs w:val="24"/>
          <w:lang w:val="en-US" w:eastAsia="zh-CN"/>
        </w:rPr>
      </w:pPr>
      <w:bookmarkStart w:id="0" w:name="_GoBack"/>
      <w:bookmarkEnd w:id="0"/>
    </w:p>
    <w:p w14:paraId="29A94324">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CARHART M M. On persistence in mutual fund performance[J]. The Journal of Finance, 1997, 52(1): 57-82.</w:t>
      </w:r>
    </w:p>
    <w:p w14:paraId="6D822DE2">
      <w:pPr>
        <w:keepNext w:val="0"/>
        <w:keepLines w:val="0"/>
        <w:pageBreakBefore w:val="0"/>
        <w:kinsoku/>
        <w:wordWrap/>
        <w:overflowPunct/>
        <w:topLinePunct w:val="0"/>
        <w:autoSpaceDE/>
        <w:autoSpaceDN/>
        <w:bidi w:val="0"/>
        <w:adjustRightInd/>
        <w:snapToGrid/>
        <w:spacing w:beforeAutospacing="0" w:afterAutospacing="0" w:line="320" w:lineRule="exact"/>
        <w:ind w:firstLineChars="0"/>
        <w:textAlignment w:val="auto"/>
        <w:rPr>
          <w:rFonts w:hint="eastAsia" w:asciiTheme="minorEastAsia" w:hAnsiTheme="minorEastAsia" w:cstheme="minorEastAsia"/>
          <w:sz w:val="24"/>
          <w:szCs w:val="24"/>
          <w:lang w:val="en-US" w:eastAsia="zh-CN"/>
        </w:rPr>
      </w:pPr>
    </w:p>
    <w:p w14:paraId="39049C4F">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CHEN L, PELGER M, ZHU J. Deep learning in asset pricing[J]. Management Science, 2024, 70(2): 714-750.</w:t>
      </w:r>
    </w:p>
    <w:p w14:paraId="376BD23E">
      <w:pPr>
        <w:keepNext w:val="0"/>
        <w:keepLines w:val="0"/>
        <w:pageBreakBefore w:val="0"/>
        <w:kinsoku/>
        <w:wordWrap/>
        <w:overflowPunct/>
        <w:topLinePunct w:val="0"/>
        <w:autoSpaceDE/>
        <w:autoSpaceDN/>
        <w:bidi w:val="0"/>
        <w:adjustRightInd/>
        <w:snapToGrid/>
        <w:spacing w:beforeAutospacing="0" w:afterAutospacing="0" w:line="320" w:lineRule="exact"/>
        <w:ind w:firstLineChars="0"/>
        <w:textAlignment w:val="auto"/>
        <w:rPr>
          <w:rFonts w:hint="eastAsia" w:asciiTheme="minorEastAsia" w:hAnsiTheme="minorEastAsia" w:cstheme="minorEastAsia"/>
          <w:sz w:val="24"/>
          <w:szCs w:val="24"/>
          <w:lang w:val="en-US" w:eastAsia="zh-CN"/>
        </w:rPr>
      </w:pPr>
    </w:p>
    <w:p w14:paraId="1232C1B4">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COHEN R B, COVAL J D, PÁSTOR Ľ. Judging fund managers by the company they keep[J]. The Journal of Finance, 2005, 60(3): 1057-1096.</w:t>
      </w:r>
    </w:p>
    <w:p w14:paraId="252A39D9">
      <w:pPr>
        <w:keepNext w:val="0"/>
        <w:keepLines w:val="0"/>
        <w:pageBreakBefore w:val="0"/>
        <w:kinsoku/>
        <w:wordWrap/>
        <w:overflowPunct/>
        <w:topLinePunct w:val="0"/>
        <w:autoSpaceDE/>
        <w:autoSpaceDN/>
        <w:bidi w:val="0"/>
        <w:adjustRightInd/>
        <w:snapToGrid/>
        <w:spacing w:beforeAutospacing="0" w:afterAutospacing="0" w:line="320" w:lineRule="exact"/>
        <w:ind w:firstLineChars="0"/>
        <w:textAlignment w:val="auto"/>
        <w:rPr>
          <w:rFonts w:hint="eastAsia" w:asciiTheme="minorEastAsia" w:hAnsiTheme="minorEastAsia" w:cstheme="minorEastAsia"/>
          <w:sz w:val="24"/>
          <w:szCs w:val="24"/>
          <w:lang w:val="en-US" w:eastAsia="zh-CN"/>
        </w:rPr>
      </w:pPr>
    </w:p>
    <w:p w14:paraId="3FFE60A2">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CREMERS K J M, PETÄJISTÖ A. How active is your fund manager? A new measure that predicts performance[J]. The Review of Financial Studies, 2009, 22(9): 3329-3365.</w:t>
      </w:r>
    </w:p>
    <w:p w14:paraId="4EFB0DC2">
      <w:pPr>
        <w:keepNext w:val="0"/>
        <w:keepLines w:val="0"/>
        <w:pageBreakBefore w:val="0"/>
        <w:kinsoku/>
        <w:wordWrap/>
        <w:overflowPunct/>
        <w:topLinePunct w:val="0"/>
        <w:autoSpaceDE/>
        <w:autoSpaceDN/>
        <w:bidi w:val="0"/>
        <w:adjustRightInd/>
        <w:snapToGrid/>
        <w:spacing w:beforeAutospacing="0" w:afterAutospacing="0" w:line="320" w:lineRule="exact"/>
        <w:ind w:firstLineChars="0"/>
        <w:textAlignment w:val="auto"/>
        <w:rPr>
          <w:rFonts w:hint="eastAsia" w:asciiTheme="minorEastAsia" w:hAnsiTheme="minorEastAsia" w:cstheme="minorEastAsia"/>
          <w:sz w:val="24"/>
          <w:szCs w:val="24"/>
          <w:lang w:val="en-US" w:eastAsia="zh-CN"/>
        </w:rPr>
      </w:pPr>
    </w:p>
    <w:p w14:paraId="7AF6D603">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FAMA E F, FRENCH K R. Luck versus skill in the cross-section of mutual fund returns[J]. The Journal of Finance, 2010, 65(5): 1915-1947.</w:t>
      </w:r>
    </w:p>
    <w:p w14:paraId="7D0FDAD3">
      <w:pPr>
        <w:keepNext w:val="0"/>
        <w:keepLines w:val="0"/>
        <w:pageBreakBefore w:val="0"/>
        <w:kinsoku/>
        <w:wordWrap/>
        <w:overflowPunct/>
        <w:topLinePunct w:val="0"/>
        <w:autoSpaceDE/>
        <w:autoSpaceDN/>
        <w:bidi w:val="0"/>
        <w:adjustRightInd/>
        <w:snapToGrid/>
        <w:spacing w:beforeAutospacing="0" w:afterAutospacing="0" w:line="320" w:lineRule="exact"/>
        <w:ind w:firstLineChars="0"/>
        <w:textAlignment w:val="auto"/>
        <w:rPr>
          <w:rFonts w:hint="eastAsia" w:asciiTheme="minorEastAsia" w:hAnsiTheme="minorEastAsia" w:cstheme="minorEastAsia"/>
          <w:sz w:val="24"/>
          <w:szCs w:val="24"/>
          <w:lang w:val="en-US" w:eastAsia="zh-CN"/>
        </w:rPr>
      </w:pPr>
    </w:p>
    <w:p w14:paraId="3DC8A462">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FREYBERGER J, NEUHIERL A, WEBER M. Dissecting characteristics nonparametrically[J]. The Review of Financial Studies, 2020, 33(5): 2326-2377.</w:t>
      </w:r>
    </w:p>
    <w:p w14:paraId="0E5191C0">
      <w:pPr>
        <w:keepNext w:val="0"/>
        <w:keepLines w:val="0"/>
        <w:pageBreakBefore w:val="0"/>
        <w:kinsoku/>
        <w:wordWrap/>
        <w:overflowPunct/>
        <w:topLinePunct w:val="0"/>
        <w:autoSpaceDE/>
        <w:autoSpaceDN/>
        <w:bidi w:val="0"/>
        <w:adjustRightInd/>
        <w:snapToGrid/>
        <w:spacing w:beforeAutospacing="0" w:afterAutospacing="0" w:line="320" w:lineRule="exact"/>
        <w:ind w:firstLineChars="0"/>
        <w:textAlignment w:val="auto"/>
        <w:rPr>
          <w:rFonts w:hint="eastAsia" w:asciiTheme="minorEastAsia" w:hAnsiTheme="minorEastAsia" w:cstheme="minorEastAsia"/>
          <w:sz w:val="24"/>
          <w:szCs w:val="24"/>
          <w:lang w:val="en-US" w:eastAsia="zh-CN"/>
        </w:rPr>
      </w:pPr>
    </w:p>
    <w:p w14:paraId="17506737">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GU S, KELLY B, XIU D. Empirical asset pricing via machine learning[J]. The Review of Financial Studies, 2020, 33(5): 2223-2273.</w:t>
      </w:r>
    </w:p>
    <w:p w14:paraId="2E985196">
      <w:pPr>
        <w:keepNext w:val="0"/>
        <w:keepLines w:val="0"/>
        <w:pageBreakBefore w:val="0"/>
        <w:kinsoku/>
        <w:wordWrap/>
        <w:overflowPunct/>
        <w:topLinePunct w:val="0"/>
        <w:autoSpaceDE/>
        <w:autoSpaceDN/>
        <w:bidi w:val="0"/>
        <w:adjustRightInd/>
        <w:snapToGrid/>
        <w:spacing w:beforeAutospacing="0" w:afterAutospacing="0" w:line="320" w:lineRule="exact"/>
        <w:ind w:firstLineChars="0"/>
        <w:textAlignment w:val="auto"/>
        <w:rPr>
          <w:rFonts w:hint="eastAsia" w:asciiTheme="minorEastAsia" w:hAnsiTheme="minorEastAsia" w:cstheme="minorEastAsia"/>
          <w:sz w:val="24"/>
          <w:szCs w:val="24"/>
          <w:lang w:val="en-US" w:eastAsia="zh-CN"/>
        </w:rPr>
      </w:pPr>
    </w:p>
    <w:p w14:paraId="5A7BB8A6">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JENSEN M C. The performance of mutual funds in the period 1945-1964[J]. The Journal of Finance, 1968, 23(2): 389-416.</w:t>
      </w:r>
    </w:p>
    <w:p w14:paraId="2A93982C">
      <w:pPr>
        <w:keepNext w:val="0"/>
        <w:keepLines w:val="0"/>
        <w:pageBreakBefore w:val="0"/>
        <w:kinsoku/>
        <w:wordWrap/>
        <w:overflowPunct/>
        <w:topLinePunct w:val="0"/>
        <w:autoSpaceDE/>
        <w:autoSpaceDN/>
        <w:bidi w:val="0"/>
        <w:adjustRightInd/>
        <w:snapToGrid/>
        <w:spacing w:beforeAutospacing="0" w:afterAutospacing="0" w:line="320" w:lineRule="exact"/>
        <w:ind w:firstLineChars="0"/>
        <w:textAlignment w:val="auto"/>
        <w:rPr>
          <w:rFonts w:hint="eastAsia" w:asciiTheme="minorEastAsia" w:hAnsiTheme="minorEastAsia" w:cstheme="minorEastAsia"/>
          <w:sz w:val="24"/>
          <w:szCs w:val="24"/>
          <w:lang w:val="en-US" w:eastAsia="zh-CN"/>
        </w:rPr>
      </w:pPr>
    </w:p>
    <w:p w14:paraId="702F6FE8">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KACPERCZYK M, SIALM C, ZHENG L. On the industry concentration of actively managed equity mutual funds[J]. The Journal of Finance, 2005, 60(4): 1983-2011.</w:t>
      </w:r>
    </w:p>
    <w:p w14:paraId="56574894">
      <w:pPr>
        <w:keepNext w:val="0"/>
        <w:keepLines w:val="0"/>
        <w:pageBreakBefore w:val="0"/>
        <w:kinsoku/>
        <w:wordWrap/>
        <w:overflowPunct/>
        <w:topLinePunct w:val="0"/>
        <w:autoSpaceDE/>
        <w:autoSpaceDN/>
        <w:bidi w:val="0"/>
        <w:adjustRightInd/>
        <w:snapToGrid/>
        <w:spacing w:beforeAutospacing="0" w:afterAutospacing="0" w:line="320" w:lineRule="exact"/>
        <w:ind w:firstLineChars="0"/>
        <w:textAlignment w:val="auto"/>
        <w:rPr>
          <w:rFonts w:hint="eastAsia" w:asciiTheme="minorEastAsia" w:hAnsiTheme="minorEastAsia" w:cstheme="minorEastAsia"/>
          <w:sz w:val="24"/>
          <w:szCs w:val="24"/>
          <w:lang w:val="en-US" w:eastAsia="zh-CN"/>
        </w:rPr>
      </w:pPr>
    </w:p>
    <w:p w14:paraId="3F46B1C6">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KACPERCZYK M, SIALM C, ZHENG L. Unobserved actions of mutual funds[J]. The Review of Financial Studies, 2008, 21(6): 2379-2416.</w:t>
      </w:r>
    </w:p>
    <w:p w14:paraId="347EB6AE">
      <w:pPr>
        <w:keepNext w:val="0"/>
        <w:keepLines w:val="0"/>
        <w:pageBreakBefore w:val="0"/>
        <w:kinsoku/>
        <w:wordWrap/>
        <w:overflowPunct/>
        <w:topLinePunct w:val="0"/>
        <w:autoSpaceDE/>
        <w:autoSpaceDN/>
        <w:bidi w:val="0"/>
        <w:adjustRightInd/>
        <w:snapToGrid/>
        <w:spacing w:beforeAutospacing="0" w:afterAutospacing="0" w:line="320" w:lineRule="exact"/>
        <w:ind w:firstLineChars="0"/>
        <w:textAlignment w:val="auto"/>
        <w:rPr>
          <w:rFonts w:hint="eastAsia" w:asciiTheme="minorEastAsia" w:hAnsiTheme="minorEastAsia" w:cstheme="minorEastAsia"/>
          <w:sz w:val="24"/>
          <w:szCs w:val="24"/>
          <w:lang w:val="en-US" w:eastAsia="zh-CN"/>
        </w:rPr>
      </w:pPr>
    </w:p>
    <w:p w14:paraId="6EFC1B90">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KACPERCZYK M, VAN NIEUWERBURGH S, VELDKAMP L. Time-varying fund manager skill[J]. The Journal of Finance, 2014, 69(4): 1455-1484.</w:t>
      </w:r>
    </w:p>
    <w:p w14:paraId="4B971BA6">
      <w:pPr>
        <w:keepNext w:val="0"/>
        <w:keepLines w:val="0"/>
        <w:pageBreakBefore w:val="0"/>
        <w:kinsoku/>
        <w:wordWrap/>
        <w:overflowPunct/>
        <w:topLinePunct w:val="0"/>
        <w:autoSpaceDE/>
        <w:autoSpaceDN/>
        <w:bidi w:val="0"/>
        <w:adjustRightInd/>
        <w:snapToGrid/>
        <w:spacing w:beforeAutospacing="0" w:afterAutospacing="0" w:line="320" w:lineRule="exact"/>
        <w:ind w:firstLineChars="0"/>
        <w:textAlignment w:val="auto"/>
        <w:rPr>
          <w:rFonts w:hint="eastAsia" w:asciiTheme="minorEastAsia" w:hAnsiTheme="minorEastAsia" w:cstheme="minorEastAsia"/>
          <w:sz w:val="24"/>
          <w:szCs w:val="24"/>
          <w:lang w:val="en-US" w:eastAsia="zh-CN"/>
        </w:rPr>
      </w:pPr>
    </w:p>
    <w:p w14:paraId="3EBDC230">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KANIEL R, LIN Z, PELGER M, VAN NIEUWERBURGH S. Machine-learning the skill of mutual fund managers[J]. Journal of Financial Economics, 2023, 150: 94-138.</w:t>
      </w:r>
    </w:p>
    <w:p w14:paraId="5BD8919F">
      <w:pPr>
        <w:keepNext w:val="0"/>
        <w:keepLines w:val="0"/>
        <w:pageBreakBefore w:val="0"/>
        <w:kinsoku/>
        <w:wordWrap/>
        <w:overflowPunct/>
        <w:topLinePunct w:val="0"/>
        <w:autoSpaceDE/>
        <w:autoSpaceDN/>
        <w:bidi w:val="0"/>
        <w:adjustRightInd/>
        <w:snapToGrid/>
        <w:spacing w:beforeAutospacing="0" w:afterAutospacing="0" w:line="320" w:lineRule="exact"/>
        <w:ind w:firstLineChars="0"/>
        <w:textAlignment w:val="auto"/>
        <w:rPr>
          <w:rFonts w:hint="eastAsia" w:asciiTheme="minorEastAsia" w:hAnsiTheme="minorEastAsia" w:cstheme="minorEastAsia"/>
          <w:sz w:val="24"/>
          <w:szCs w:val="24"/>
          <w:lang w:val="en-US" w:eastAsia="zh-CN"/>
        </w:rPr>
      </w:pPr>
    </w:p>
    <w:p w14:paraId="79EFA93E">
      <w:pPr>
        <w:keepNext w:val="0"/>
        <w:keepLines w:val="0"/>
        <w:pageBreakBefore w:val="0"/>
        <w:numPr>
          <w:ilvl w:val="0"/>
          <w:numId w:val="1"/>
        </w:numPr>
        <w:kinsoku/>
        <w:wordWrap/>
        <w:overflowPunct/>
        <w:topLinePunct w:val="0"/>
        <w:autoSpaceDE/>
        <w:autoSpaceDN/>
        <w:bidi w:val="0"/>
        <w:adjustRightInd/>
        <w:snapToGrid/>
        <w:spacing w:beforeAutospacing="0" w:afterAutospacing="0" w:line="320" w:lineRule="exact"/>
        <w:ind w:left="0" w:leftChars="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WERMERS R. Mutual fund performance: An empirical decomposition into stock-picking talent, style, transactions costs, and expenses[J]. The Journal of Finance, 2000, 55(4): 1655-1695.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99F9E8"/>
    <w:multiLevelType w:val="singleLevel"/>
    <w:tmpl w:val="7399F9E8"/>
    <w:lvl w:ilvl="0" w:tentative="0">
      <w:start w:val="1"/>
      <w:numFmt w:val="decimal"/>
      <w:suff w:val="nothing"/>
      <w:lvlText w:val="[%1]"/>
      <w:lvlJc w:val="left"/>
      <w:pPr>
        <w:tabs>
          <w:tab w:val="left" w:pos="0"/>
        </w:tabs>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186074"/>
    <w:rsid w:val="3F186074"/>
    <w:rsid w:val="527D1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2026-05-21T06:41:00Z</dcterms:created>
  <dc:creator>月亮快递员</dc:creator>
  <cp:lastModifiedBy>月亮快递员</cp:lastModifiedBy>
  <dcterms:modified xsi:type="dcterms:W3CDTF">2026-05-21T06:54:23Z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B5A5C2EC9C2C4084A49B44997E3CDD8F_11</vt:lpwstr>
  </property>
</Properties>
</file>