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color w:val="666666"/>
          <w:sz w:val="22"/>
          <w:szCs w:val="22"/>
        </w:rPr>
        <w:t xml:space="preserve">TFT 메타 정보 sLLM + RAG 서비스</w:t>
      </w:r>
    </w:p>
    <w:p>
      <w:pPr>
        <w:spacing w:after="300"/>
      </w:pPr>
      <w:r>
        <w:rPr>
          <w:b/>
          <w:bCs/>
          <w:color w:val="1A1A1A"/>
          <w:sz w:val="48"/>
          <w:szCs w:val="48"/>
        </w:rPr>
        <w:t xml:space="preserve">디자인 가이드 (Design Guide)</w:t>
      </w:r>
    </w:p>
    <w:p>
      <w:pPr>
        <w:spacing w:after="100"/>
      </w:pPr>
      <w:r>
        <w:rPr>
          <w:b/>
          <w:bCs/>
          <w:color w:val="4059D9"/>
          <w:sz w:val="24"/>
          <w:szCs w:val="24"/>
        </w:rPr>
        <w:t xml:space="preserve">Design Guide v1.0</w:t>
      </w:r>
    </w:p>
    <w:p>
      <w:pPr>
        <w:spacing w:after="40"/>
      </w:pPr>
      <w:r>
        <w:rPr>
          <w:color w:val="666666"/>
          <w:sz w:val="19"/>
          <w:szCs w:val="19"/>
        </w:rPr>
        <w:t xml:space="preserve">근거 문서: PRD v1.3(최종) · 화면설계서 v1.2 · 개발설계서 v1.6 · Figma "TFT_Hideout" 와이어프레임</w:t>
      </w:r>
    </w:p>
    <w:p>
      <w:pPr>
        <w:spacing w:after="40"/>
      </w:pPr>
      <w:r>
        <w:rPr>
          <w:color w:val="666666"/>
          <w:sz w:val="19"/>
          <w:szCs w:val="19"/>
        </w:rPr>
        <w:t xml:space="preserve">작성일: 2026-07-30</w:t>
      </w:r>
    </w:p>
    <w:p>
      <w:pPr>
        <w:spacing w:after="800"/>
      </w:pPr>
      <w:r>
        <w:rPr>
          <w:color w:val="666666"/>
          <w:sz w:val="19"/>
          <w:szCs w:val="19"/>
        </w:rPr>
        <w:t xml:space="preserve">작성자: suraholic</w:t>
      </w: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본 문서는 Figma 와이어프레임(구조·레이아웃)과 PRD/화면설계서/개발설계서(반응형 규칙, 화면 목록, 기술 제약)를 종합해 실제 개발에 필요한 시각 디자인 규칙(컬러·타이포그래피·컴포넌트 스펙)을 확정한다. Figma 파일은 그레이박스 와이어프레임 단계로 일부 시각 요소(티어 배지 색상 구분 등)가 미정 상태이며, 본 가이드가 그 미정 항목에 대한 권장안을 제시한다.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</w:rPr>
        <w:t xml:space="preserve">목차</w:t>
      </w:r>
    </w:p>
    <w:p>
      <w:pPr>
        <w:spacing w:after="120" w:line="300"/>
      </w:pPr>
      <w:r>
        <w:t xml:space="preserve">1. 문서 개요</w:t>
      </w:r>
    </w:p>
    <w:p>
      <w:pPr>
        <w:spacing w:after="120" w:line="300"/>
      </w:pPr>
      <w:r>
        <w:t xml:space="preserve">2. 브레이크포인트 및 반응형 원칙</w:t>
      </w:r>
    </w:p>
    <w:p>
      <w:pPr>
        <w:spacing w:after="120" w:line="300"/>
      </w:pPr>
      <w:r>
        <w:t xml:space="preserve">3. 컬러 시스템</w:t>
      </w:r>
    </w:p>
    <w:p>
      <w:pPr>
        <w:spacing w:after="120" w:line="300"/>
      </w:pPr>
      <w:r>
        <w:t xml:space="preserve">4. 타이포그래피</w:t>
      </w:r>
    </w:p>
    <w:p>
      <w:pPr>
        <w:spacing w:after="120" w:line="300"/>
      </w:pPr>
      <w:r>
        <w:t xml:space="preserve">5. 스페이싱 · 코너 반경 · 그리드</w:t>
      </w:r>
    </w:p>
    <w:p>
      <w:pPr>
        <w:spacing w:after="120" w:line="300"/>
      </w:pPr>
      <w:r>
        <w:t xml:space="preserve">6. 컴포넌트 가이드</w:t>
      </w:r>
    </w:p>
    <w:p>
      <w:pPr>
        <w:spacing w:after="120" w:line="300"/>
      </w:pPr>
      <w:r>
        <w:t xml:space="preserve">7. 화면별 적용 가이드</w:t>
      </w:r>
    </w:p>
    <w:p>
      <w:pPr>
        <w:spacing w:after="120" w:line="300"/>
      </w:pPr>
      <w:r>
        <w:t xml:space="preserve">8. 미확정 항목 및 후속 확인 사항</w:t>
      </w:r>
    </w:p>
    <w:p>
      <w:pPr>
        <w:spacing w:after="120" w:line="300"/>
      </w:pPr>
      <w:r>
        <w:t xml:space="preserve">9. 변경 이력</w:t>
      </w:r>
    </w:p>
    <w:p>
      <w:pPr>
        <w:pageBreakBefore/>
      </w:pPr>
    </w:p>
    <w:p>
      <w:pPr>
        <w:pStyle w:val="Heading1"/>
        <w:spacing w:after="200" w:before="400"/>
      </w:pPr>
      <w:r>
        <w:rPr>
          <w:b/>
          <w:bCs/>
        </w:rPr>
        <w:t xml:space="preserve">1. 문서 개요</w:t>
      </w:r>
    </w:p>
    <w:p>
      <w:pPr>
        <w:pStyle w:val="Heading2"/>
        <w:spacing w:after="150" w:before="300"/>
      </w:pPr>
      <w:r>
        <w:rPr>
          <w:b/>
          <w:bCs/>
        </w:rPr>
        <w:t xml:space="preserve">1.1 목적</w:t>
      </w:r>
    </w:p>
    <w:p>
      <w:pPr>
        <w:spacing w:after="120" w:line="300"/>
      </w:pPr>
      <w:r>
        <w:t xml:space="preserve">이 문서는 TFT 메타 정보 sLLM + RAG 서비스의 웹사이트 UI를 일관된 톤앤매너로 구현하기 위한 디자인 규칙을 정의한다. Figma "TFT_Hideout" 와이어프레임에서 실제 적용된 색상·타이포그래피·간격·컴포넌트 스펙을 추출하고, PRD·화면설계서·개발설계서에 명시된 반응형 규칙과 화면 구조를 결합해 프론트엔드 구현자가 참조할 수 있는 단일 기준을 제공한다.</w:t>
      </w:r>
    </w:p>
    <w:p>
      <w:pPr>
        <w:pStyle w:val="Heading2"/>
        <w:spacing w:after="150" w:before="300"/>
      </w:pPr>
      <w:r>
        <w:rPr>
          <w:b/>
          <w:bCs/>
        </w:rPr>
        <w:t xml:space="preserve">1.2 근거 문서 및 범위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50"/>
      </w:tblGrid>
      <w:tr>
        <w:trPr>
          <w:tblHeader/>
        </w:trPr>
        <w:tc>
          <w:tcPr>
            <w:tcW w:type="dxa" w:w="2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문서</w:t>
            </w:r>
          </w:p>
        </w:tc>
        <w:tc>
          <w:tcPr>
            <w:tcW w:type="dxa" w:w="37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0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본 가이드와의 관계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PRD v1.3 (최종)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제품 요구사항, 반응형 정책(7-4), 화면 범위(5-1)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브레이크포인트·반응형 전환 규칙의 근거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화면설계서 v1.2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 목록·플로우·컴포넌트·반응형 동작·모바일 와이어프레임(텍스트 스케치)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화면별 적용 가이드의 근거, 미정 항목(디자인 재량) 목록의 출처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개발설계서 v1.6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Next.js/Tailwind 구현 방식, 브레이크포인트 매핑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구현 관점의 반응형 규칙(4.1.1) 반영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Figma "TFT_Hideout"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데스크톱 와이어프레임 7개 프레임(그레이박스 단계)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컬러·타이포그래피·spacing·컴포넌트 스펙의 1차 소스</w:t>
            </w:r>
          </w:p>
        </w:tc>
      </w:tr>
    </w:tbl>
    <w:p>
      <w:pPr>
        <w:spacing w:after="100"/>
      </w:pP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Figma 파일은 화면설계서 작성 시점에 API 호출 한도로 데스크톱 프레임만 반영되어 있으며, 모바일 화면은 화면설계서 내 텍스트 스케치로만 존재한다(화면설계서 1장 각주). 본 가이드의 모바일 규격은 PRD 7-4·화면설계서 반응형 동작표·텍스트 스케치를 근거로 데스크톱 스펙에서 파생했다.</w:t>
      </w:r>
    </w:p>
    <w:p>
      <w:pPr>
        <w:pStyle w:val="Heading2"/>
        <w:spacing w:after="150" w:before="300"/>
      </w:pPr>
      <w:r>
        <w:rPr>
          <w:b/>
          <w:bCs/>
        </w:rPr>
        <w:t xml:space="preserve">1.3 디자인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데이터 우선(Data-first): 이 서비스의 핵심 가치는 최신 메타 정보다. 장식보다 표·카드·수치의 가독성을 우선한다(PRD 7-1).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웹사이트-챗봇 상호보완: 같은 데이터를 탐색형(웹사이트)과 질의응답형(챗봇) 두 방식으로 노출하므로, 두 채널의 시각 언어(색상·타이포그래피·버튼 스타일)를 동일하게 유지해 하나의 서비스로 인지되게 한다(PRD 6장).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근거 명시: 챗봇 답변·티어리스트 등 모든 정보에는 패치 버전과 근거가 함께 노출된다. 근거 텍스트는 본문보다 낮은 위계(보조 텍스트 컬러)로 표기해 정보 위계를 지킨다(PRD 7-2).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반응형 일관성: 데스크톱에서 확정한 컴포넌트 스타일(색상·모서리 반경·타이포그래피)은 브레이크포인트가 바뀌어도 값은 유지하고 레이아웃(배치·노출 형태)만 전환한다(PRD 7-4).</w:t>
      </w:r>
    </w:p>
    <w:p>
      <w:pPr>
        <w:pStyle w:val="Heading1"/>
        <w:spacing w:after="200" w:before="400"/>
      </w:pPr>
      <w:r>
        <w:rPr>
          <w:b/>
          <w:bCs/>
        </w:rPr>
        <w:t xml:space="preserve">2. 브레이크포인트 및 반응형 원칙</w:t>
      </w:r>
    </w:p>
    <w:p>
      <w:pPr>
        <w:pStyle w:val="Heading2"/>
        <w:spacing w:after="150" w:before="300"/>
      </w:pPr>
      <w:r>
        <w:rPr>
          <w:b/>
          <w:bCs/>
        </w:rPr>
        <w:t xml:space="preserve">2.1 브레이크포인트 정의</w:t>
      </w:r>
    </w:p>
    <w:p>
      <w:pPr>
        <w:spacing w:after="120" w:line="300"/>
      </w:pPr>
      <w:r>
        <w:t xml:space="preserve">PRD 7-4·개발설계서 4.1.1 기준. Tailwind CSS 기본 브레이크포인트(md/lg)에 그대로 매핑되어 별도 커스텀 설정이 없다.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2050"/>
      </w:tblGrid>
      <w:tr>
        <w:trPr>
          <w:tblHeader/>
        </w:trPr>
        <w:tc>
          <w:tcPr>
            <w:tcW w:type="dxa" w:w="20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25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Tailwind 접두사</w:t>
            </w:r>
          </w:p>
        </w:tc>
        <w:tc>
          <w:tcPr>
            <w:tcW w:type="dxa" w:w="20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기준 근거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모바일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 768px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(기본, prefix 없음)</w:t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PRD 7-4 / 개발설계서 4.1.1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태블릿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768px ~ 1023px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md:</w:t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PRD 7-4 / 개발설계서 4.1.1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데스크톱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1024px 이상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lg:</w:t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PRD 7-4 / 개발설계서 4.1.1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2.2 컴포넌트별 반응형 전환 규칙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rPr>
          <w:tblHeader/>
        </w:trPr>
        <w:tc>
          <w:tcPr>
            <w:tcW w:type="dxa" w:w="2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8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데스크톱 / 태블릿</w:t>
            </w:r>
          </w:p>
        </w:tc>
        <w:tc>
          <w:tcPr>
            <w:tcW w:type="dxa" w:w="29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모바일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GNB(전역 내비게이션)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가로 내비게이션 바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햄버거 아이콘 → 전체화면 드로어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카탈로그 그리드(티어리스트 등)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3~4열 카드 그리드(데스크톱) / 2열(태블릿)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1열 카드 스택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챗봇 위젯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우하단 고정 플로팅 패널(360×505, radius 10)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하단 고정 바 → 탭 시 전체화면 바텀시트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필터 UI(패치/랭크/챔피언/티어)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드롭다운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하단 시트(Bottom Sheet)</w:t>
            </w:r>
          </w:p>
        </w:tc>
      </w:tr>
    </w:tbl>
    <w:p>
      <w:pPr>
        <w:spacing w:after="100"/>
      </w:pP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근거: PRD 7-4, 화면설계서 1.3(GNB) 및 각 화면 "반응형 동작" 절, 개발설계서 4.1.1. 그리드 컬럼 수 전환은 별도 컴포넌트 분기 없이 CSS Grid 컬럼 수만 조정한다(개발설계서 4.1.1).</w:t>
      </w:r>
    </w:p>
    <w:p>
      <w:pPr>
        <w:pStyle w:val="Heading1"/>
        <w:spacing w:after="200" w:before="400"/>
      </w:pPr>
      <w:r>
        <w:rPr>
          <w:b/>
          <w:bCs/>
        </w:rPr>
        <w:t xml:space="preserve">3. 컬러 시스템</w:t>
      </w:r>
    </w:p>
    <w:p>
      <w:pPr>
        <w:spacing w:after="120" w:line="300"/>
      </w:pPr>
      <w:r>
        <w:t xml:space="preserve">Figma 와이어프레임에서 실제 사용된 컬러 값을 추출한 팔레트다. 그레이박스 단계 와이어프레임이므로 브랜드 컬러·텍스트·배경·보더 체계는 확정 값으로, 티어 배지 색상 구분(3.3)은 권장안으로 구분해 표기한다.</w:t>
      </w:r>
    </w:p>
    <w:p>
      <w:pPr>
        <w:pStyle w:val="Heading2"/>
        <w:spacing w:after="150" w:before="300"/>
      </w:pPr>
      <w:r>
        <w:rPr>
          <w:b/>
          <w:bCs/>
        </w:rPr>
        <w:t xml:space="preserve">3.1 브랜드 &amp; 액션 컬러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color w:val="4059D9"/>
                <w:sz w:val="32"/>
                <w:szCs w:val="32"/>
              </w:rPr>
              <w:t xml:space="preserve">■■■■■■■■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Primary (Brand)</w:t>
            </w:r>
          </w:p>
          <w:p>
            <w:r>
              <w:rPr>
                <w:color w:val="666666"/>
                <w:sz w:val="16"/>
                <w:szCs w:val="16"/>
              </w:rPr>
              <w:t xml:space="preserve">#4059D9</w:t>
            </w:r>
          </w:p>
          <w:p>
            <w:r>
              <w:rPr>
                <w:color w:val="8C8C8C"/>
                <w:sz w:val="16"/>
                <w:szCs w:val="16"/>
              </w:rPr>
              <w:t xml:space="preserve">GNB 로고 강조 · 챗봇 헤더 · CTA 버튼 · 챗봇 플로팅 버튼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color w:val="E59933"/>
                <w:sz w:val="32"/>
                <w:szCs w:val="32"/>
              </w:rPr>
              <w:t xml:space="preserve">■■■■■■■■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Accent (Carry)</w:t>
            </w:r>
          </w:p>
          <w:p>
            <w:r>
              <w:rPr>
                <w:color w:val="666666"/>
                <w:sz w:val="16"/>
                <w:szCs w:val="16"/>
              </w:rPr>
              <w:t xml:space="preserve">#E59933</w:t>
            </w:r>
          </w:p>
          <w:p>
            <w:r>
              <w:rPr>
                <w:color w:val="8C8C8C"/>
                <w:sz w:val="16"/>
                <w:szCs w:val="16"/>
              </w:rPr>
              <w:t xml:space="preserve">캐리 챔피언 강조 보더(조합 상세 화면)</w:t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color w:val="E5D966"/>
                <w:sz w:val="32"/>
                <w:szCs w:val="32"/>
              </w:rPr>
              <w:t xml:space="preserve">■■■■■■■■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Tier Badge (임시)</w:t>
            </w:r>
          </w:p>
          <w:p>
            <w:r>
              <w:rPr>
                <w:color w:val="666666"/>
                <w:sz w:val="16"/>
                <w:szCs w:val="16"/>
              </w:rPr>
              <w:t xml:space="preserve">#E5D966</w:t>
            </w:r>
          </w:p>
          <w:p>
            <w:r>
              <w:rPr>
                <w:color w:val="8C8C8C"/>
                <w:sz w:val="16"/>
                <w:szCs w:val="16"/>
              </w:rPr>
              <w:t xml:space="preserve">티어 배지 배경 — 와이어프레임 공통값, 3.3 참고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3.2 텍스트 · 배경 · 보더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토큰</w:t>
            </w:r>
          </w:p>
        </w:tc>
        <w:tc>
          <w:tcPr>
            <w:tcW w:type="dxa" w:w="22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5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/ Primary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제목, 본문 강조, 카드 타이틀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/ Secondary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#666666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본문 설명, 메타 정보(픽률·승률 등)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/ Tertiary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#8C8C8C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placeholder, 비활성 텍스트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/ On-Brand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브랜드 컬러 배경 위 텍스트(버튼, 챗봇 헤더)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Surface / Card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카드, 챗봇 패널, 드롭다운 배경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Surface / Page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#F7F7F7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페이지 배경, 필터 바 배경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Surface / User Bubble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#E5E8FF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챗봇 사용자 발화 말풍선 배경(브랜드 컬러의 10% 톤)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Border / Default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#D9D9D9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카드 보더, 챗봇 패널 보더, 구분선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Border / Input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#CCCCCC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드롭다운·인풋 보더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Skeleton / Placeholder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#CCCCCC / #E0E0E0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이미지·아이콘 로딩 자리표시자(챔피언 아이콘 등)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3.3 티어 배지 컬러 — 권장안 (와이어프레임 미확정 항목)</w:t>
      </w: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화면설계서 2.1 "특이사항/가정": "티어 뱃지 색상 매핑은 디자인 시 자유 재량"으로 명시되어 있고, 실제 Figma 와이어프레임에서도 S/A/B 등급 배지가 모두 동일한 #E5D966(placeholder)로 표기되어 있다. 아래는 TFT 게임 내 등급 표기 관행(S가 가장 상위)과 기존 브랜드 팔레트를 기준으로 제안하는 권장 배색이며, 실제 채택 전 확인이 필요하다.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rPr>
          <w:tblHeader/>
        </w:trPr>
        <w:tc>
          <w:tcPr>
            <w:tcW w:type="dxa" w:w="20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2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권장 HEX</w:t>
            </w:r>
          </w:p>
        </w:tc>
        <w:tc>
          <w:tcPr>
            <w:tcW w:type="dxa" w:w="47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 티어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#E5B93D (골드)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기존 와이어프레임 값(E5D966)보다 채도를 높여 최상위 등급 강조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티어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#8C6FE0 (퍼플)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브랜드 블루(4059D9)와 인접한 보라 계열로 구분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 티어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#4C9BE0 (블루)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정보성 블루 — 중간 등급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 티어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#8C8C8C (그레이)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Text/Tertiary 재사용 — 낮은 강조</w:t>
            </w:r>
          </w:p>
        </w:tc>
      </w:tr>
    </w:tbl>
    <w:p>
      <w:pPr>
        <w:spacing w:after="100"/>
      </w:pP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증강체 정보 화면에서 Legend 계열 승률은 Riot 정책상 노출 금지이며(PRD 10-1·12장, 화면설계서 2.4), 이 경우 숫자 대신 "승률 표시 안함" 텍스트를 Text/Tertiary(#8C8C8C)로 표기한다.</w:t>
      </w:r>
    </w:p>
    <w:p>
      <w:pPr>
        <w:pStyle w:val="Heading1"/>
        <w:spacing w:after="200" w:before="400"/>
      </w:pPr>
      <w:r>
        <w:rPr>
          <w:b/>
          <w:bCs/>
        </w:rPr>
        <w:t xml:space="preserve">4. 타이포그래피</w:t>
      </w:r>
    </w:p>
    <w:p>
      <w:pPr>
        <w:spacing w:after="120" w:line="300"/>
      </w:pPr>
      <w:r>
        <w:t xml:space="preserve">서체: Inter(라틴/숫자) — 국문 병기 시 시스템 기본 서체(맑은 고딕 등)로 폴백한다. Figma 와이어프레임에서 확인된 실측 스타일은 다음과 같다.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600"/>
        <w:gridCol w:w="1650"/>
      </w:tblGrid>
      <w:tr>
        <w:trPr>
          <w:tblHeader/>
        </w:trPr>
        <w:tc>
          <w:tcPr>
            <w:tcW w:type="dxa" w:w="19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스타일</w:t>
            </w:r>
          </w:p>
        </w:tc>
        <w:tc>
          <w:tcPr>
            <w:tcW w:type="dxa" w:w="22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크기 / 굵기</w:t>
            </w:r>
          </w:p>
        </w:tc>
        <w:tc>
          <w:tcPr>
            <w:tcW w:type="dxa" w:w="3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16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컬러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22px / Bold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상세 화면 타이틀(예: 조합명)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H1 / Logo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20px / Bold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GNB 로고, 페이지 최상단 타이틀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H2 / Section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16~18px / Bold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섹션 제목(예: "챔피언 구성", "추천 증강체")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 / Badge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11~12px / SemiBold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티어 배지, 챗봇 제안 칩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 / #FFFFFF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13~14px / Regular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본문, 카드 설명, 챗봇 메시지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#1A1A1A / #666666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12px / Regular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근거 텍스트, 보조 설명, 타임스탬프</w:t>
            </w:r>
          </w:p>
        </w:tc>
        <w:tc>
          <w:tcPr>
            <w:tcW w:type="dxa" w:w="1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#666666</w:t>
            </w:r>
          </w:p>
        </w:tc>
      </w:tr>
    </w:tbl>
    <w:p>
      <w:pPr>
        <w:spacing w:after="100"/>
      </w:pPr>
    </w:p>
    <w:p>
      <w:pPr>
        <w:pBdr>
          <w:left w:val="single" w:color="4059D9" w:sz="12" w:space="8"/>
        </w:pBdr>
        <w:spacing w:after="160" w:before="80"/>
        <w:ind w:left="200"/>
      </w:pPr>
      <w:r>
        <w:rPr>
          <w:i/>
          <w:iCs/>
          <w:color w:val="555555"/>
          <w:sz w:val="20"/>
          <w:szCs w:val="20"/>
        </w:rPr>
        <w:t xml:space="preserve">Figma 실측: GNB 로고 Inter Bold 20px(#1A1A1A) · 상세 타이틀 Inter Bold 22px · 등급 배지 라벨 Inter SemiBold 11~12px · 챗봇 메시지·설명 텍스트 Inter Regular 12~13px(#666666).</w:t>
      </w:r>
    </w:p>
    <w:p>
      <w:pPr>
        <w:pStyle w:val="Heading1"/>
        <w:spacing w:after="200" w:before="400"/>
      </w:pPr>
      <w:r>
        <w:rPr>
          <w:b/>
          <w:bCs/>
        </w:rPr>
        <w:t xml:space="preserve">5. 스페이싱 · 코너 반경 · 그리드</w:t>
      </w:r>
    </w:p>
    <w:p>
      <w:pPr>
        <w:pStyle w:val="Heading2"/>
        <w:spacing w:after="150" w:before="300"/>
      </w:pPr>
      <w:r>
        <w:rPr>
          <w:b/>
          <w:bCs/>
        </w:rPr>
        <w:t xml:space="preserve">5.1 스페이싱 스케일</w:t>
      </w:r>
    </w:p>
    <w:p>
      <w:pPr>
        <w:spacing w:after="120" w:line="300"/>
      </w:pPr>
      <w:r>
        <w:t xml:space="preserve">Figma 와이어프레임의 실측 padding/gap 값은 4px 기본 단위 배수로 구성된다: 4 · 8 · 12 · 16 · 20 · 24 · 32 · 40px. 카드 내부 패딩은 16px, 카드 그리드 간격(gap)은 16px, 페이지 좌우 여백은 40px(데스크톱 기준)을 사용한다.</w:t>
      </w:r>
    </w:p>
    <w:p>
      <w:pPr>
        <w:pStyle w:val="Heading2"/>
        <w:spacing w:after="150" w:before="300"/>
      </w:pPr>
      <w:r>
        <w:rPr>
          <w:b/>
          <w:bCs/>
        </w:rPr>
        <w:t xml:space="preserve">5.2 코너 반경(Radius)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46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Radius</w:t>
            </w:r>
          </w:p>
        </w:tc>
      </w:tr>
      <w:tr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카드(comp_card 등)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8px</w:t>
            </w:r>
          </w:p>
        </w:tc>
      </w:tr>
      <w:tr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티어 배지 / 칩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4px</w:t>
            </w:r>
          </w:p>
        </w:tc>
      </w:tr>
      <w:tr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버튼 / 드롭다운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6px</w:t>
            </w:r>
          </w:p>
        </w:tc>
      </w:tr>
      <w:tr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챗봇 말풍선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10px</w:t>
            </w:r>
          </w:p>
        </w:tc>
      </w:tr>
      <w:tr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챗봇 플로팅 버튼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50%(원형, 56×56px)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5.3 카탈로그 그리드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50"/>
      </w:tblGrid>
      <w:tr>
        <w:trPr>
          <w:tblHeader/>
        </w:trPr>
        <w:tc>
          <w:tcPr>
            <w:tcW w:type="dxa" w:w="32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브레이크포인트</w:t>
            </w:r>
          </w:p>
        </w:tc>
        <w:tc>
          <w:tcPr>
            <w:tcW w:type="dxa" w:w="31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컬럼 수</w:t>
            </w:r>
          </w:p>
        </w:tc>
        <w:tc>
          <w:tcPr>
            <w:tcW w:type="dxa" w:w="30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카드 간격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데스크톱(1024px~)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3~4열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태블릿(768~1023px)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2열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모바일(&lt;768px)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1열(카드 스택)</w:t>
            </w:r>
          </w:p>
        </w:tc>
        <w:tc>
          <w:tcPr>
            <w:tcW w:type="dxa" w:w="30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12px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</w:rPr>
        <w:t xml:space="preserve">6. 컴포넌트 가이드</w:t>
      </w:r>
    </w:p>
    <w:p>
      <w:pPr>
        <w:pStyle w:val="Heading2"/>
        <w:spacing w:after="150" w:before="300"/>
      </w:pPr>
      <w:r>
        <w:rPr>
          <w:b/>
          <w:bCs/>
        </w:rPr>
        <w:t xml:space="preserve">6.1 GNB (전역 내비게이션)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데스크톱/태블릿: 좌측 로고("TFT Meta", Bold 20px) + 가로 메뉴(티어리스트/아이템 빌드/증강체 정보/전적 분석) + 우측 현재 패치 배지("패치 18.1(현재)", 브랜드 컬러 #4059D9 Bold).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현재 페이지 메뉴 항목은 Bold + #1A1A1A로 강조하고, 비활성 메뉴는 Regular + #666666으로 낮춘다.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모바일: 로고 + 햄버거 아이콘만 노출, 탭 시 전체화면 드로어로 메뉴 전환(PRD 7-4).</w:t>
      </w:r>
    </w:p>
    <w:p>
      <w:pPr>
        <w:pStyle w:val="Heading2"/>
        <w:spacing w:after="150" w:before="300"/>
      </w:pPr>
      <w:r>
        <w:rPr>
          <w:b/>
          <w:bCs/>
        </w:rPr>
        <w:t xml:space="preserve">6.2 필터(드롭다운 / 바텀시트)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데스크톱/태블릿: 흰 배경(#FFFFFF) + 보더(#CCCCCC, 1px) + radius 6px 필 버튼, 우측 셰브론 아이콘. 내부 패딩 14/8px, 버튼 간 gap 12px.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모바일: 동일 필터 상태를 공유하는 Bottom Sheet 컴포넌트로 전환(개발설계서 4.1.1).</w:t>
      </w:r>
    </w:p>
    <w:p>
      <w:pPr>
        <w:pStyle w:val="Heading2"/>
        <w:spacing w:after="150" w:before="300"/>
      </w:pPr>
      <w:r>
        <w:rPr>
          <w:b/>
          <w:bCs/>
        </w:rPr>
        <w:t xml:space="preserve">6.3 카드 (comp_card / catalog card)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배경 #FFFFFF, 보더 #D9D9D9 1px, radius 8px, 내부 패딩 16px.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타이틀(카드명) + 등급 배지를 같은 행에 배치, 하단에 보조 텍스트(#666666, 13px)로 지표(평균등수·픽률·승률)를 "·"로 구분해 나열.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클릭 시 상세 화면으로 이동(전체 카드 클릭 영역).</w:t>
      </w:r>
    </w:p>
    <w:p>
      <w:pPr>
        <w:pStyle w:val="Heading2"/>
        <w:spacing w:after="150" w:before="300"/>
      </w:pPr>
      <w:r>
        <w:rPr>
          <w:b/>
          <w:bCs/>
        </w:rPr>
        <w:t xml:space="preserve">6.4 등급 배지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radius 4px, 내부 패딩 8/2px, 텍스트 SemiBold 11~12px. 색상은 3.3 권장안 참고.</w:t>
      </w:r>
    </w:p>
    <w:p>
      <w:pPr>
        <w:pStyle w:val="Heading2"/>
        <w:spacing w:after="150" w:before="300"/>
      </w:pPr>
      <w:r>
        <w:rPr>
          <w:b/>
          <w:bCs/>
        </w:rPr>
        <w:t xml:space="preserve">6.5 버튼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Primary 버튼: 배경 #4059D9, 텍스트 #FFFFFF, radius 6px, 패딩 20/12px. 예: "이 조합의 아이템 빌드 더보기 →".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Secondary/Chip 버튼(추천 증강체 등): 배경 #FFFFFF, 보더 #D9D9D9, 텍스트 #1A1A1A.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캐리 챔피언 강조: 챔피언 카드 보더를 #E59933(2px)로 표시해 서브 챔피언과 구분.</w:t>
      </w:r>
    </w:p>
    <w:p>
      <w:pPr>
        <w:pStyle w:val="Heading2"/>
        <w:spacing w:after="150" w:before="300"/>
      </w:pPr>
      <w:r>
        <w:rPr>
          <w:b/>
          <w:bCs/>
        </w:rPr>
        <w:t xml:space="preserve">6.6 챗봇 위젯 (전역 컴포넌트)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Collapsed(데스크톱/태블릿): 우하단 고정 원형 버튼, 56×56px, 배경 #4059D9. 모바일은 하단 고정 바("💬 무엇이든 물어보세요...")로 대체.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Expanded 패널: 360×480~505px, 배경 #FFFFFF, 보더 #D9D9D9 1px. 헤더는 배경 #4059D9 + 흰 텍스트("TFT 챗봇", 접기/닫기 아이콘).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사용자 메시지 말풍선: 배경 #E5E8FF, radius 10px, 우측 정렬. 봇 답변은 배경 없음(페이지 배경과 동일) 또는 옅은 회색, 좌측 정렬.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답변 하단에 근거 텍스트("근거: 티어리스트 데이터 · 패치 18.1 · 조합 상세 링크 →")를 Caption 스타일(#666666, 12px)로 표기하고 링크는 브랜드 컬러로 강조.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후속 질문 제안 칩: 보더 #D9D9D9, radius 6px, 텍스트 #1A1A1A — 버튼과 동일한 Secondary 스타일 재사용.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모바일 Expanded 상태는 전체화면 바텀시트로 전환(화면설계서 2.7).</w:t>
      </w:r>
    </w:p>
    <w:p>
      <w:pPr>
        <w:pStyle w:val="Heading1"/>
        <w:spacing w:after="200" w:before="400"/>
      </w:pPr>
      <w:r>
        <w:rPr>
          <w:b/>
          <w:bCs/>
        </w:rPr>
        <w:t xml:space="preserve">7. 화면별 적용 가이드</w:t>
      </w:r>
    </w:p>
    <w:p>
      <w:pPr>
        <w:spacing w:after="120" w:line="300"/>
      </w:pPr>
      <w:r>
        <w:t xml:space="preserve">화면설계서 v1.2의 7개 화면 구조에 본 가이드의 컬러·타이포그래피·컴포넌트 규칙을 적용하는 지침이다. 화면 목적·컴포넌트 목록은 화면설계서를 따르고, 여기서는 시각 규칙 적용 포인트만 다룬다.</w:t>
      </w:r>
    </w:p>
    <w:p>
      <w:pPr>
        <w:pStyle w:val="Heading3"/>
        <w:spacing w:after="100" w:before="200"/>
      </w:pPr>
      <w:r>
        <w:rPr>
          <w:b/>
          <w:bCs/>
        </w:rPr>
        <w:t xml:space="preserve">7.1 티어리스트(홈)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카탈로그 카드 그리드(6.3) + 등급 배지(6.4, 3.3 권장 배색) 적용.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모바일: 1열 카드 스택, 필터는 탭하면 하단시트로 전환(화면설계서 2.1 모바일 스케치).</w:t>
      </w:r>
    </w:p>
    <w:p>
      <w:pPr>
        <w:pStyle w:val="Heading3"/>
        <w:spacing w:after="100" w:before="200"/>
      </w:pPr>
      <w:r>
        <w:rPr>
          <w:b/>
          <w:bCs/>
        </w:rPr>
        <w:t xml:space="preserve">7.2 조합 상세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타이틀 Display 스타일(22px Bold) + 등급 배지, 캐리 챔피언은 #E59933 보더로 강조(6.5).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하단 Primary 버튼("아이템 빌드 더보기 →")은 모바일에서 full-width로 확장(화면설계서 2.2 모바일 스케치).</w:t>
      </w:r>
    </w:p>
    <w:p>
      <w:pPr>
        <w:pStyle w:val="Heading3"/>
        <w:spacing w:after="100" w:before="200"/>
      </w:pPr>
      <w:r>
        <w:rPr>
          <w:b/>
          <w:bCs/>
        </w:rPr>
        <w:t xml:space="preserve">7.3 아이템 빌드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필터 + 리스트 + 상세 패널 구조. 모바일에서 상세 패널은 하단시트(Bottom Sheet)로 전환(6.2).</w:t>
      </w:r>
    </w:p>
    <w:p>
      <w:pPr>
        <w:pStyle w:val="Heading3"/>
        <w:spacing w:after="100" w:before="200"/>
      </w:pPr>
      <w:r>
        <w:rPr>
          <w:b/>
          <w:bCs/>
        </w:rPr>
        <w:t xml:space="preserve">7.4 증강체 정보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등급 배지(3.3) 적용, Legend 계열 항목은 승률 대신 "승률 표시 안함"을 Caption 컬러(#8C8C8C)로 표기(PRD 10-1·12장 — 반드시 반영).</w:t>
      </w:r>
    </w:p>
    <w:p>
      <w:pPr>
        <w:pStyle w:val="Heading3"/>
        <w:spacing w:after="100" w:before="200"/>
      </w:pPr>
      <w:r>
        <w:rPr>
          <w:b/>
          <w:bCs/>
        </w:rPr>
        <w:t xml:space="preserve">7.5 사후 패인 분석(계정 연동)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Riot ID 입력 폼: 인풋 보더 #CCCCCC, radius 6px. 최근 조회 계정은 가로 스크롤 칩(Secondary 버튼 스타일) 최대 5개(화면설계서 2.5 가정).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CTA("최근 전적 불러오기")는 Primary 버튼 스타일, 모바일 full-width.</w:t>
      </w:r>
    </w:p>
    <w:p>
      <w:pPr>
        <w:pStyle w:val="Heading3"/>
        <w:spacing w:after="100" w:before="200"/>
      </w:pPr>
      <w:r>
        <w:rPr>
          <w:b/>
          <w:bCs/>
        </w:rPr>
        <w:t xml:space="preserve">7.6 분석 리포트 상세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코칭 요약은 아이콘 + 텍스트(잘한 점 ✓ / 아쉬운 점 △ / 제안 →)로 구성, 라운드별 등수 꺾은선 그래프는 브랜드 컬러(#4059D9) 라인 사용을 권장.</w:t>
      </w:r>
    </w:p>
    <w:p>
      <w:pPr>
        <w:pStyle w:val="Heading3"/>
        <w:spacing w:after="100" w:before="200"/>
      </w:pPr>
      <w:r>
        <w:rPr>
          <w:b/>
          <w:bCs/>
        </w:rPr>
        <w:t xml:space="preserve">7.7 챗봇 위젯(전역)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6.6 규칙을 모든 화면에 동일 적용, 별도 URL 없이 전역 오버레이.</w:t>
      </w:r>
    </w:p>
    <w:p>
      <w:pPr>
        <w:pStyle w:val="Heading1"/>
        <w:spacing w:after="200" w:before="400"/>
      </w:pPr>
      <w:r>
        <w:rPr>
          <w:b/>
          <w:bCs/>
        </w:rPr>
        <w:t xml:space="preserve">8. 미확정 항목 및 후속 확인 사항</w:t>
      </w:r>
    </w:p>
    <w:p>
      <w:pPr>
        <w:spacing w:after="120" w:line="300"/>
      </w:pPr>
      <w:r>
        <w:t xml:space="preserve">화면설계서·PRD에서 "디자인 재량"으로 명시했거나 Figma 와이어프레임이 그레이박스 단계라 시각 요소가 확정되지 않은 항목이다. 본 가이드의 권장안(3.3, 6.5 등)으로 1차 방향을 제시했으나, 실제 고해상도 목업 제작 전 최종 확인이 필요하다.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50"/>
      </w:tblGrid>
      <w:tr>
        <w:trPr>
          <w:tblHeader/>
        </w:trPr>
        <w:tc>
          <w:tcPr>
            <w:tcW w:type="dxa" w:w="26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43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본 가이드의 권장안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티어 배지(S/A/B/C) 색상 구분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화면설계서 2.1</w:t>
            </w:r>
          </w:p>
        </w:tc>
        <w:tc>
          <w:tcPr>
            <w:tcW w:type="dxa" w:w="4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3.3 권장 팔레트(골드/퍼플/블루/그레이)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캐리/서브 챔피언 구분 표시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화면설계서 2.2</w:t>
            </w:r>
          </w:p>
        </w:tc>
        <w:tc>
          <w:tcPr>
            <w:tcW w:type="dxa" w:w="4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캐리 보더 #E59933 2px(Figma 조합 상세 프레임에서 실측 확인)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챔피언/아이템 아이콘 실제 이미지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Figma(그레이박스 placeholder)</w:t>
            </w:r>
          </w:p>
        </w:tc>
        <w:tc>
          <w:tcPr>
            <w:tcW w:type="dxa" w:w="4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TFT 공식 에셋(Data Dragon/TFT DDragon) 연동 시 실제 아이콘으로 교체 — 개발설계서 8장 스파이크와 연동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모바일 프레임 정밀 검증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화면설계서 1장 각주(Figma 호출 한도)</w:t>
            </w:r>
          </w:p>
        </w:tc>
        <w:tc>
          <w:tcPr>
            <w:tcW w:type="dxa" w:w="4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본 가이드 2·5·6장 스펙을 기준으로 모바일 목업 제작 후 데스크톱과 비교 검증 필요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분석 리포트 그래프/타임라인 상세 스타일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화면설계서 2.6 가정</w:t>
            </w:r>
          </w:p>
        </w:tc>
        <w:tc>
          <w:tcPr>
            <w:tcW w:type="dxa" w:w="4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라운드축 꺾은선 그래프(브랜드 컬러), 아이템 타임라인 가로 스크롤 — 세부 톤은 목업 단계에서 확정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</w:rPr>
        <w:t xml:space="preserve">9. 변경 이력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50"/>
      </w:tblGrid>
      <w:tr>
        <w:trPr>
          <w:tblHeader/>
        </w:trPr>
        <w:tc>
          <w:tcPr>
            <w:tcW w:type="dxa" w:w="15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220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5650"/>
            <w:shd w:fill="2F3A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2026-07-30</w:t>
            </w:r>
          </w:p>
        </w:tc>
        <w:tc>
          <w:tcPr>
            <w:tcW w:type="dxa" w:w="5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PRD v1.3(최종)·화면설계서 v1.2·개발설계서 v1.6·Figma TFT_Hideout 와이어프레임 기반 최초 작성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b/>
      <w:bCs/>
      <w:color w:val="2F3A8F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2026-07-30T11:20:03.238Z</dcterms:created>
  <dcterms:modified xsi:type="dcterms:W3CDTF">2026-07-30T11:20:03.238Z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