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1F497D"/>
          <w:sz w:val="32"/>
        </w:rPr>
        <w:t>Presupuesto del Proyecto IntelliCoop</w:t>
      </w:r>
    </w:p>
    <w:p>
      <w:pPr>
        <w:spacing w:after="40"/>
        <w:jc w:val="center"/>
      </w:pPr>
      <w:r>
        <w:rPr>
          <w:rFonts w:ascii="Times New Roman" w:hAnsi="Times New Roman"/>
          <w:color w:val="595959"/>
          <w:sz w:val="24"/>
        </w:rPr>
        <w:t>Sistema Inteligente de Análisis y Riesgo Cooperativo</w:t>
      </w:r>
    </w:p>
    <w:p>
      <w:pPr>
        <w:spacing w:after="280"/>
        <w:jc w:val="center"/>
      </w:pPr>
      <w:r>
        <w:rPr>
          <w:rFonts w:ascii="Times New Roman" w:hAnsi="Times New Roman"/>
          <w:color w:val="595959"/>
          <w:sz w:val="22"/>
        </w:rPr>
        <w:t>Cuenca, 30 de junio del 2026</w:t>
      </w:r>
    </w:p>
    <w:p>
      <w:pPr>
        <w:spacing w:after="200"/>
        <w:pBdr>
          <w:bottom w:val="single" w:sz="6" w:space="1" w:color="1F497D"/>
        </w:pBdr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1. Supuestos de Estimación</w:t>
      </w:r>
    </w:p>
    <w:p>
      <w:pPr>
        <w:spacing w:after="8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Google Cloud TTS Neural2: </w:t>
      </w:r>
      <w:r>
        <w:rPr>
          <w:rFonts w:ascii="Times New Roman" w:hAnsi="Times New Roman"/>
          <w:sz w:val="22"/>
        </w:rPr>
        <w:t>$16 / 1 M caracteres — uso estimado tesis: ~50,000 chars/mes (250 chars × 200 respuestas) — dentro del tier gratuito permanente (1 M chars/mes)</w:t>
      </w:r>
    </w:p>
    <w:p>
      <w:pPr>
        <w:spacing w:after="8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OpenRouter DeepSeek V3.2: </w:t>
      </w:r>
      <w:r>
        <w:rPr>
          <w:rFonts w:ascii="Times New Roman" w:hAnsi="Times New Roman"/>
          <w:sz w:val="22"/>
        </w:rPr>
        <w:t>~$0.27/1M tokens entrada + $1.10/1M tokens salida — por consulta Rakkun: ~3,000 tokens entrada + 400 salida ≈ $0.0013/consulta — estimado 200 consultas/mes en uso de tesis</w:t>
      </w:r>
    </w:p>
    <w:p>
      <w:pPr>
        <w:spacing w:after="8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Dominio web: </w:t>
      </w:r>
      <w:r>
        <w:rPr>
          <w:rFonts w:ascii="Times New Roman" w:hAnsi="Times New Roman"/>
          <w:sz w:val="22"/>
        </w:rPr>
        <w:t>Promedio $2.50/año (punto medio del rango Namecheap $1–$4)</w:t>
      </w:r>
    </w:p>
    <w:p>
      <w:pPr>
        <w:spacing w:after="12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2. Costo Total Incurrido a la Fecha (al 30-06-2026)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Servicio</w:t>
            </w:r>
          </w:p>
        </w:tc>
        <w:tc>
          <w:tcPr>
            <w:tcW w:type="dxa" w:w="4252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Detalle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Costo USD</w:t>
            </w:r>
          </w:p>
        </w:tc>
      </w:tr>
      <w:tr>
        <w:tc>
          <w:tcPr>
            <w:tcW w:type="dxa" w:w="3118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VPS DigitalOcean</w:t>
            </w:r>
          </w:p>
        </w:tc>
        <w:tc>
          <w:tcPr>
            <w:tcW w:type="dxa" w:w="4252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Basic Droplet, 1 mes (desde Jun-24)</w:t>
            </w:r>
          </w:p>
        </w:tc>
        <w:tc>
          <w:tcPr>
            <w:tcW w:type="dxa" w:w="1701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$6.00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OpenRouter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Recarga mínima + tax local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$7.00</w:t>
            </w:r>
          </w:p>
        </w:tc>
      </w:tr>
      <w:tr>
        <w:tc>
          <w:tcPr>
            <w:tcW w:type="dxa" w:w="3118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Google Cloud TTS</w:t>
            </w:r>
          </w:p>
        </w:tc>
        <w:tc>
          <w:tcPr>
            <w:tcW w:type="dxa" w:w="4252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~50,000 chars de trial ($300) — costo real estimado</w:t>
            </w:r>
          </w:p>
        </w:tc>
        <w:tc>
          <w:tcPr>
            <w:tcW w:type="dxa" w:w="1701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≈ $0.08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Cubism SDK (Live2D)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Trial 90 días (completado, no renovar)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3118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Modelo Live2D Rakkun</w:t>
            </w:r>
          </w:p>
        </w:tc>
        <w:tc>
          <w:tcPr>
            <w:tcW w:type="dxa" w:w="4252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Uso libre</w:t>
            </w:r>
          </w:p>
        </w:tc>
        <w:tc>
          <w:tcPr>
            <w:tcW w:type="dxa" w:w="1701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Dominio web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No adquirido aún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3118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 GASTADO</w:t>
            </w:r>
          </w:p>
        </w:tc>
        <w:tc>
          <w:tcPr>
            <w:tcW w:type="dxa" w:w="4252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701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≈ $13.08</w:t>
            </w:r>
          </w:p>
        </w:tc>
      </w:tr>
    </w:tbl>
    <w:p>
      <w:pPr>
        <w:spacing w:after="8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3. Costo Mensual de Mantenimiento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386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Servicio</w:t>
            </w:r>
          </w:p>
        </w:tc>
        <w:tc>
          <w:tcPr>
            <w:tcW w:type="dxa" w:w="368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Costo / mes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VPS DigitalOcean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$6.00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OpenRouter (DeepSeek V3.2)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≈ $0.26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Google Cloud TTS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  (Always Free 1M chars/mes)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Dominio web (prorrateado)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≈ $0.21</w:t>
            </w:r>
          </w:p>
        </w:tc>
      </w:tr>
      <w:tr>
        <w:tc>
          <w:tcPr>
            <w:tcW w:type="dxa" w:w="5386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 MENSUAL</w:t>
            </w:r>
          </w:p>
        </w:tc>
        <w:tc>
          <w:tcPr>
            <w:tcW w:type="dxa" w:w="3685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≈ $6.47</w:t>
            </w:r>
          </w:p>
        </w:tc>
      </w:tr>
    </w:tbl>
    <w:p>
      <w:pPr>
        <w:spacing w:after="8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4. Proyección Anual (12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386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Servicio</w:t>
            </w:r>
          </w:p>
        </w:tc>
        <w:tc>
          <w:tcPr>
            <w:tcW w:type="dxa" w:w="368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Costo / año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VPS DigitalOcean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$72.00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OpenRouter (≈ 1 recarga c/18 meses)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≈ $5.00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Google Cloud TTS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Dominio web (renovación anual)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≈ $2.50</w:t>
            </w:r>
          </w:p>
        </w:tc>
      </w:tr>
      <w:tr>
        <w:tc>
          <w:tcPr>
            <w:tcW w:type="dxa" w:w="5386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 ANUAL</w:t>
            </w:r>
          </w:p>
        </w:tc>
        <w:tc>
          <w:tcPr>
            <w:tcW w:type="dxa" w:w="3685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≈ $79.50</w:t>
            </w:r>
          </w:p>
        </w:tc>
      </w:tr>
    </w:tbl>
    <w:p>
      <w:pPr>
        <w:spacing w:after="8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5. Resumen por Categoría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283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Servicio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Gastado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Mensual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Anual</w:t>
            </w:r>
          </w:p>
        </w:tc>
      </w:tr>
      <w:tr>
        <w:tc>
          <w:tcPr>
            <w:tcW w:type="dxa" w:w="1984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Infraestructura</w:t>
            </w:r>
          </w:p>
        </w:tc>
        <w:tc>
          <w:tcPr>
            <w:tcW w:type="dxa" w:w="283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VPS DigitalOcean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$6.00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$6.00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$72.00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IA / LLM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OpenRouter (DeepSeek V3.2)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$7.00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$0.26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$5.00</w:t>
            </w:r>
          </w:p>
        </w:tc>
      </w:tr>
      <w:tr>
        <w:tc>
          <w:tcPr>
            <w:tcW w:type="dxa" w:w="1984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IA / Voz</w:t>
            </w:r>
          </w:p>
        </w:tc>
        <w:tc>
          <w:tcPr>
            <w:tcW w:type="dxa" w:w="283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Google Cloud TTS Neural2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$0.08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Dominio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Namecheap (pendiente)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$0.21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$2.50</w:t>
            </w:r>
          </w:p>
        </w:tc>
      </w:tr>
      <w:tr>
        <w:tc>
          <w:tcPr>
            <w:tcW w:type="dxa" w:w="1984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Assets / Lic.</w:t>
            </w:r>
          </w:p>
        </w:tc>
        <w:tc>
          <w:tcPr>
            <w:tcW w:type="dxa" w:w="283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Live2D + Cubism SDK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  <w:tc>
          <w:tcPr>
            <w:tcW w:type="dxa" w:w="1417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$0.00</w:t>
            </w:r>
          </w:p>
        </w:tc>
      </w:tr>
      <w:tr>
        <w:tc>
          <w:tcPr>
            <w:tcW w:type="dxa" w:w="1984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2835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$13.08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$6.47</w:t>
            </w:r>
          </w:p>
        </w:tc>
        <w:tc>
          <w:tcPr>
            <w:tcW w:type="dxa" w:w="1417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/>
                <w:sz w:val="22"/>
              </w:rPr>
              <w:t>$79.50</w:t>
            </w:r>
          </w:p>
        </w:tc>
      </w:tr>
    </w:tbl>
    <w:p>
      <w:pPr>
        <w:spacing w:after="8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6. Distribución del Costo Mensual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386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Categoría</w:t>
            </w:r>
          </w:p>
        </w:tc>
        <w:tc>
          <w:tcPr>
            <w:tcW w:type="dxa" w:w="3685"/>
            <w:shd w:val="clear" w:color="auto" w:fill="1F497D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% del total mensual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Infraestructura (VPS)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92.7 %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IA / LLM (OpenRouter)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4.0 %</w:t>
            </w:r>
          </w:p>
        </w:tc>
      </w:tr>
      <w:tr>
        <w:tc>
          <w:tcPr>
            <w:tcW w:type="dxa" w:w="5386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Dominio</w:t>
            </w:r>
          </w:p>
        </w:tc>
        <w:tc>
          <w:tcPr>
            <w:tcW w:type="dxa" w:w="3685"/>
            <w:shd w:val="clear" w:color="auto" w:fill="E8EDF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3.3 %</w:t>
            </w:r>
          </w:p>
        </w:tc>
      </w:tr>
      <w:tr>
        <w:tc>
          <w:tcPr>
            <w:tcW w:type="dxa" w:w="538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IA / Voz (Google TTS)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0.0 %</w:t>
            </w:r>
          </w:p>
        </w:tc>
      </w:tr>
    </w:tbl>
    <w:p>
      <w:pPr>
        <w:spacing w:after="80"/>
      </w:pPr>
    </w:p>
    <w:p>
      <w:pPr>
        <w:spacing w:before="240" w:after="80" w:line="360" w:lineRule="exact"/>
        <w:jc w:val="left"/>
      </w:pPr>
      <w:r>
        <w:rPr>
          <w:rFonts w:ascii="Times New Roman" w:hAnsi="Times New Roman"/>
          <w:b/>
          <w:color w:val="1F497D"/>
          <w:sz w:val="28"/>
        </w:rPr>
        <w:t>7. Notas Clave</w:t>
      </w:r>
    </w:p>
    <w:p>
      <w:pPr>
        <w:spacing w:after="10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Google TTS después de Sep-2026: </w:t>
      </w:r>
      <w:r>
        <w:rPr>
          <w:rFonts w:ascii="Times New Roman" w:hAnsi="Times New Roman"/>
          <w:sz w:val="22"/>
        </w:rPr>
        <w:t>Al expirar los $300 de créditos trial, el uso de tesis (~50K chars/mes) sigue siendo gratuito indefinidamente — el tier Always Free otorga 1M chars Neural/mes sin costo.</w:t>
      </w:r>
    </w:p>
    <w:p>
      <w:pPr>
        <w:spacing w:after="10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OpenRouter: </w:t>
      </w:r>
      <w:r>
        <w:rPr>
          <w:rFonts w:ascii="Times New Roman" w:hAnsi="Times New Roman"/>
          <w:sz w:val="22"/>
        </w:rPr>
        <w:t>Los $5 de créditos a ~$0.26/mes duran aproximadamente 19 meses. No se requiere recarga hasta Feb-2028 aproximadamente.</w:t>
      </w:r>
    </w:p>
    <w:p>
      <w:pPr>
        <w:spacing w:after="10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Cubism SDK: </w:t>
      </w:r>
      <w:r>
        <w:rPr>
          <w:rFonts w:ascii="Times New Roman" w:hAnsi="Times New Roman"/>
          <w:sz w:val="22"/>
        </w:rPr>
        <w:t>No hay costo recurrente — el período de prueba (90 días) fue suficiente para completar el diseño del avatar. La licencia comercial solo aplicaría en caso de redistribución comercial.</w:t>
      </w:r>
    </w:p>
    <w:p>
      <w:pPr>
        <w:spacing w:after="10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Costo por usuario: </w:t>
      </w:r>
      <w:r>
        <w:rPr>
          <w:rFonts w:ascii="Times New Roman" w:hAnsi="Times New Roman"/>
          <w:sz w:val="22"/>
        </w:rPr>
        <w:t>A $6.47/mes para una aplicación de tesis/demo, el costo operativo es prácticamente simbólico.</w:t>
      </w:r>
    </w:p>
    <w:p>
      <w:pPr>
        <w:spacing w:after="100" w:line="360" w:lineRule="exact"/>
        <w:ind w:left="283"/>
      </w:pPr>
      <w:r>
        <w:rPr>
          <w:rFonts w:ascii="Times New Roman" w:hAnsi="Times New Roman"/>
          <w:b/>
          <w:sz w:val="22"/>
        </w:rPr>
        <w:t xml:space="preserve">• VPS dominante: </w:t>
      </w:r>
      <w:r>
        <w:rPr>
          <w:rFonts w:ascii="Times New Roman" w:hAnsi="Times New Roman"/>
          <w:sz w:val="22"/>
        </w:rPr>
        <w:t>El 92.7% del costo mensual corresponde al VPS. En períodos sin uso activo (vacaciones, etc.) pausarlo representaría un ahorro directo de $6.00/mes.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