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Часть 2. Страницы 2, 29, 30, 60 — Нередактируемые страницы</w:t>
      </w:r>
    </w:p>
    <w:p>
      <w:r>
        <w:rPr>
          <w:b/>
        </w:rPr>
        <w:t xml:space="preserve">Страницы: </w:t>
      </w:r>
      <w:r>
        <w:t>2 «Привет! Давай знакомиться!», 29 «Самое заветное желание», 30 «Место для конверта», 60 «История продолжается!»</w:t>
      </w:r>
    </w:p>
    <w:p>
      <w:pPr>
        <w:pStyle w:val="Heading2"/>
      </w:pPr>
      <w:r>
        <w:t>Назначение блока</w:t>
      </w:r>
    </w:p>
    <w:p>
      <w:r>
        <w:t>Все страницы данного блока являются информационными или декоративными. Пользователь не может изменять их содержимое. При этом пользователь может исключить любую из этих страниц из PDF-экспорта.</w:t>
      </w:r>
    </w:p>
    <w:p>
      <w:pPr>
        <w:pStyle w:val="Heading2"/>
      </w:pPr>
      <w:r>
        <w:t>Общие свойства</w:t>
      </w:r>
    </w:p>
    <w:p>
      <w:pPr>
        <w:pStyle w:val="ListBullet"/>
      </w:pPr>
      <w:r>
        <w:t>Тип страницы: StaticPageTemplate</w:t>
      </w:r>
    </w:p>
    <w:p>
      <w:pPr>
        <w:pStyle w:val="ListBullet"/>
      </w:pPr>
      <w:r>
        <w:t>Редактирование: запрещено</w:t>
      </w:r>
    </w:p>
    <w:p>
      <w:pPr>
        <w:pStyle w:val="ListBullet"/>
      </w:pPr>
      <w:r>
        <w:t>Участвует в структуре дневника</w:t>
      </w:r>
    </w:p>
    <w:p>
      <w:pPr>
        <w:pStyle w:val="ListBullet"/>
      </w:pPr>
      <w:r>
        <w:t>Не участвует в расчете прогресса заполнения</w:t>
      </w:r>
    </w:p>
    <w:p>
      <w:pPr>
        <w:pStyle w:val="ListBullet"/>
      </w:pPr>
      <w:r>
        <w:t>Может быть скрыта из PDF по желанию пользователя</w:t>
      </w:r>
    </w:p>
    <w:p>
      <w:pPr>
        <w:pStyle w:val="ListBullet"/>
      </w:pPr>
      <w:r>
        <w:t>Содержимое страницы хранится в приложении как статический шаблон</w:t>
      </w:r>
    </w:p>
    <w:p>
      <w:pPr>
        <w:pStyle w:val="Heading2"/>
      </w:pPr>
      <w:r>
        <w:t>Страница 2. Привет! Давай знакомиться!</w:t>
      </w:r>
    </w:p>
    <w:p>
      <w:r>
        <w:t>Полностью статическая информационная страница. Поля ввода отсутствуют.</w:t>
      </w:r>
    </w:p>
    <w:p>
      <w:pPr>
        <w:pStyle w:val="Heading2"/>
      </w:pPr>
      <w:r>
        <w:t>Страница 29. Самое заветное желание</w:t>
      </w:r>
    </w:p>
    <w:p>
      <w:r>
        <w:t>Информационная инструкция для работы с бумажным конвертом. Поля ввода отсутствуют.</w:t>
      </w:r>
    </w:p>
    <w:p>
      <w:pPr>
        <w:pStyle w:val="Heading2"/>
      </w:pPr>
      <w:r>
        <w:t>Страница 30. Место для конверта</w:t>
      </w:r>
    </w:p>
    <w:p>
      <w:r>
        <w:t>Декоративная страница для размещения бумажного конверта. Поля ввода отсутствуют.</w:t>
      </w:r>
    </w:p>
    <w:p>
      <w:pPr>
        <w:pStyle w:val="Heading2"/>
      </w:pPr>
      <w:r>
        <w:t>Страница 60. История продолжается!</w:t>
      </w:r>
    </w:p>
    <w:p>
      <w:r>
        <w:t>Финальная страница дневника. Полностью статическая. Поля ввода отсутствуют.</w:t>
      </w:r>
    </w:p>
    <w:p>
      <w:pPr>
        <w:pStyle w:val="Heading2"/>
      </w:pPr>
      <w:r>
        <w:t>Логика PDF-экспорта</w:t>
      </w:r>
    </w:p>
    <w:p>
      <w:r>
        <w:t>Для каждой из страниц должен существовать переключатель "Включать в PDF". По умолчанию все страницы включены. Пользователь может исключить любую страницу из итогового PDF.</w:t>
      </w:r>
    </w:p>
    <w:p>
      <w:pPr>
        <w:pStyle w:val="Heading2"/>
      </w:pPr>
      <w:r>
        <w:t>Статусы страниц</w:t>
      </w:r>
    </w:p>
    <w:p>
      <w:r>
        <w:t>Статус всегда: "Не редактируется".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