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80"/>
      </w:pPr>
      <w:r>
        <w:rPr>
          <w:rFonts w:ascii="微软雅黑" w:hAnsi="微软雅黑" w:eastAsia="微软雅黑"/>
          <w:b/>
          <w:color w:val="000000"/>
          <w:sz w:val="40"/>
        </w:rPr>
        <w:t>智能会议室管理系统 V1.0 非功能需求</w:t>
      </w:r>
    </w:p>
    <w:p>
      <w:pPr>
        <w:pStyle w:val="Heading1"/>
      </w:pPr>
      <w:r>
        <w:t>一、非功能需求清单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439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439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类别</w:t>
            </w:r>
          </w:p>
        </w:tc>
        <w:tc>
          <w:tcPr>
            <w:tcW w:type="dxa" w:w="2414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需求描述</w:t>
            </w:r>
          </w:p>
        </w:tc>
        <w:tc>
          <w:tcPr>
            <w:tcW w:type="dxa" w:w="292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验证方式</w:t>
            </w:r>
          </w:p>
        </w:tc>
        <w:tc>
          <w:tcPr>
            <w:tcW w:type="dxa" w:w="2853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通过标准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NFR-01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性能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在本地/局域网环境下，会议室查询与预约提交的响应时间不超过 2 秒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预置 100 条预约数据，对“查询会议室”和“提交预约申请”各执行 5 次，记录响应时间并取平均值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平均响应时间 ≤ 2 秒，且无超时或报错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NFR-02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并发一致性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同一会议室同一时段被并发提交时，只允许一条预约成功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用两个账号（或两个会话）同时对同一会议室同一时段提交预约，检查结果与库中记录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仅 1 条成功，另 1 条被拒绝并提示时段已占用，数据无重复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NFR-03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账号安全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用户密码不得明文存储；普通用户不得调用管理员接口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查询数据库确认密码为加盐哈希；用普通用户身份访问用户管理、审核等管理员接口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库中无明文密码；管理员接口返回无权限并拒绝执行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NFR-04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数据权限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普通用户只能查看与操作本人的预约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用户 A 尝试通过链接或接口查看、改期、取消用户 B 的预约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请求被拒绝，且不泄露他人预约详情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NFR-05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数据一致性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预约状态、时段占用、审核日志三者保持一致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抽查 10 条已审核记录，分别比对预约状态、对应时段是否被占用、审核日志内容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三者一致；不存在“已驳回仍占用时段”或“已取消仍有审核日志缺失”的情况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NFR-06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可用性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关键操作反馈明确，破坏性操作必须二次确认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按《03_用例清单.md》逐条走查提交、改期、取消、审核、强制取消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成功与失败均有明确提示；取消、审核、强制取消均出现二次确认；放弃确认后状态不变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NFR-07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可维护性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冲突检测规则与审核状态机独立成模块，便于单独修改与测试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代码走查确认模块边界；对冲突检测与状态流转执行单元测试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冲突检测与状态流转有独立实现与测试；修改规则不影响其他模块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NFR-08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兼容性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主流浏览器可正常使用，常见笔记本分辨率下布局不溢出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 Chrome、Edge 最新版中分别完成一次预约与一次审核；在 1366×768 分辨率下检查页面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功能可用，关键按钮与表单不被遮挡，无横向溢出</w:t>
            </w:r>
          </w:p>
        </w:tc>
      </w:tr>
      <w:tr>
        <w:trPr>
          <w:cantSplit/>
        </w:trPr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NFR-09</w:t>
            </w:r>
          </w:p>
        </w:tc>
        <w:tc>
          <w:tcPr>
            <w:tcW w:type="dxa" w:w="43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可部署性</w:t>
            </w:r>
          </w:p>
        </w:tc>
        <w:tc>
          <w:tcPr>
            <w:tcW w:type="dxa" w:w="241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README 步骤可从零部署并启动演示</w:t>
            </w:r>
          </w:p>
        </w:tc>
        <w:tc>
          <w:tcPr>
            <w:tcW w:type="dxa" w:w="292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在干净环境按 README 依次安装依赖、初始化数据库、启动前后端</w:t>
            </w:r>
          </w:p>
        </w:tc>
        <w:tc>
          <w:tcPr>
            <w:tcW w:type="dxa" w:w="285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系统可启动，普通用户与管理员均可完成一次完整闭环操作</w:t>
            </w:r>
          </w:p>
        </w:tc>
      </w:tr>
    </w:tbl>
    <w:p>
      <w:pPr>
        <w:spacing w:after="40"/>
      </w:pPr>
    </w:p>
    <w:p>
      <w:pPr>
        <w:pStyle w:val="Heading1"/>
      </w:pPr>
      <w:r>
        <w:t>二、验证安排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767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3450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覆盖需求</w:t>
            </w:r>
          </w:p>
        </w:tc>
        <w:tc>
          <w:tcPr>
            <w:tcW w:type="dxa" w:w="4855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76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开发自测</w:t>
            </w:r>
          </w:p>
        </w:tc>
        <w:tc>
          <w:tcPr>
            <w:tcW w:type="dxa" w:w="345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NFR-01、NFR-02、NFR-04、NFR-06</w:t>
            </w:r>
          </w:p>
        </w:tc>
        <w:tc>
          <w:tcPr>
            <w:tcW w:type="dxa" w:w="485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由功能负责人在本地执行，留存记录</w:t>
            </w:r>
          </w:p>
        </w:tc>
      </w:tr>
      <w:tr>
        <w:trPr>
          <w:cantSplit/>
        </w:trPr>
        <w:tc>
          <w:tcPr>
            <w:tcW w:type="dxa" w:w="76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联调验证</w:t>
            </w:r>
          </w:p>
        </w:tc>
        <w:tc>
          <w:tcPr>
            <w:tcW w:type="dxa" w:w="345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NFR-03、NFR-05、NFR-08</w:t>
            </w:r>
          </w:p>
        </w:tc>
        <w:tc>
          <w:tcPr>
            <w:tcW w:type="dxa" w:w="485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前后端联调后由测试与文档负责人执行</w:t>
            </w:r>
          </w:p>
        </w:tc>
      </w:tr>
      <w:tr>
        <w:trPr>
          <w:cantSplit/>
        </w:trPr>
        <w:tc>
          <w:tcPr>
            <w:tcW w:type="dxa" w:w="767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部署验证</w:t>
            </w:r>
          </w:p>
        </w:tc>
        <w:tc>
          <w:tcPr>
            <w:tcW w:type="dxa" w:w="3450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NFR-07、NFR-09</w:t>
            </w:r>
          </w:p>
        </w:tc>
        <w:tc>
          <w:tcPr>
            <w:tcW w:type="dxa" w:w="485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README 从零部署一次，作为第 12 条“系统能够启动和演示”的证据</w:t>
            </w:r>
          </w:p>
        </w:tc>
      </w:tr>
    </w:tbl>
    <w:p>
      <w:pPr>
        <w:spacing w:after="40"/>
      </w:pPr>
    </w:p>
    <w:p>
      <w:pPr>
        <w:pStyle w:val="Heading1"/>
      </w:pPr>
      <w:r>
        <w:t>三、与第 2 周问题的对应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53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第 2 周问题</w:t>
            </w:r>
          </w:p>
        </w:tc>
        <w:tc>
          <w:tcPr>
            <w:tcW w:type="dxa" w:w="4536"/>
            <w:shd w:val="clear" w:fill="DEEAF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对应非功能需求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P05、P07 审核误操作与功能分区不清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NFR-06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P06 缺少审核日志、无法追溯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NFR-05、NFR-06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 周走查中“编辑用户和会议室没有提示/验证”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NFR-06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 周调研中系统维护者关注的部署、稳定性、可维护性</w:t>
            </w:r>
          </w:p>
        </w:tc>
        <w:tc>
          <w:tcPr>
            <w:tcW w:type="dxa" w:w="45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NFR-01、NFR-03、NFR-07、NFR-09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