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ada4974a9740832cf6ba49553976c941353a21"/>
    <w:p>
      <w:pPr>
        <w:pStyle w:val="Heading1"/>
      </w:pPr>
      <w:r>
        <w:t xml:space="preserve">Pre-notification e-mail aan J Clin Periodontol Editorial Office (EN)</w:t>
      </w:r>
    </w:p>
    <w:p>
      <w:pPr>
        <w:pStyle w:val="FirstParagraph"/>
      </w:pPr>
      <w:r>
        <w:rPr>
          <w:i/>
          <w:iCs/>
        </w:rPr>
        <w:t xml:space="preserve">Korte heads-up, parallel met de Nederlandse mail aan Nesse te versturen.</w:t>
      </w:r>
      <w:r>
        <w:rPr>
          <w:i/>
          <w:iCs/>
        </w:rPr>
        <w:t xml:space="preserve"> </w:t>
      </w:r>
      <w:r>
        <w:rPr>
          <w:i/>
          <w:iCs/>
        </w:rPr>
        <w:t xml:space="preserve">Geen submission, geen verzoek — alleen informatie zodat het tijdschrift</w:t>
      </w:r>
      <w:r>
        <w:rPr>
          <w:i/>
          <w:iCs/>
        </w:rPr>
        <w:t xml:space="preserve"> </w:t>
      </w:r>
      <w:r>
        <w:rPr>
          <w:i/>
          <w:iCs/>
        </w:rPr>
        <w:t xml:space="preserve">zijn interne Crossmark-flagging-workflow alvast kan starten op het</w:t>
      </w:r>
      <w:r>
        <w:rPr>
          <w:i/>
          <w:iCs/>
        </w:rPr>
        <w:t xml:space="preserve"> </w:t>
      </w:r>
      <w:r>
        <w:rPr>
          <w:i/>
          <w:iCs/>
        </w:rPr>
        <w:t xml:space="preserve">Nesse 2008-artikel.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rPr>
          <w:rStyle w:val="VerbatimChar"/>
        </w:rPr>
        <w:t xml:space="preserve">jcpe@wiley.com</w:t>
      </w:r>
      <w:r>
        <w:t xml:space="preserve"> </w:t>
      </w:r>
      <w:r>
        <w:rPr>
          <w:i/>
          <w:iCs/>
        </w:rPr>
        <w:t xml:space="preserve">(verifieer huidig Editorial Office-adres</w:t>
      </w:r>
      <w:r>
        <w:rPr>
          <w:i/>
          <w:iCs/>
        </w:rPr>
        <w:t xml:space="preserve"> </w:t>
      </w:r>
      <w:r>
        <w:rPr>
          <w:i/>
          <w:iCs/>
        </w:rPr>
        <w:t xml:space="preserve">op de auteursrichtlijnen-pagina vóór verzending)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rPr>
          <w:i/>
          <w:iCs/>
        </w:rPr>
        <w:t xml:space="preserve">[je e-mailadres]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Pre-notification of a possible Corrigendum to Nesse et al. (2008), J Clin Periodontol 35:668-673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Editorial Office,</w:t>
      </w:r>
    </w:p>
    <w:p>
      <w:pPr>
        <w:pStyle w:val="BodyText"/>
      </w:pPr>
      <w:r>
        <w:t xml:space="preserve">I write as an informal pre-notification, not as a submission.</w:t>
      </w:r>
    </w:p>
    <w:p>
      <w:pPr>
        <w:pStyle w:val="BodyText"/>
      </w:pPr>
      <w:r>
        <w:t xml:space="preserve">In the course of clinical implementation of the Periodontal Inflamed</w:t>
      </w:r>
      <w:r>
        <w:t xml:space="preserve"> </w:t>
      </w:r>
      <w:r>
        <w:t xml:space="preserve">Surface Area (PISA) framework introduced by Nesse et al. (2008)</w:t>
      </w:r>
      <w:r>
        <w:t xml:space="preserve"> </w:t>
      </w:r>
      <w:r>
        <w:t xml:space="preserve">[doi:10.1111/j.1600-051X.2008.01249.x], I have identified what appears</w:t>
      </w:r>
      <w:r>
        <w:t xml:space="preserve"> </w:t>
      </w:r>
      <w:r>
        <w:t xml:space="preserve">to be a single decimal-shift typographical error in Table 1, row</w:t>
      </w:r>
      <w:r>
        <w:t xml:space="preserve"> </w:t>
      </w:r>
      <w:r>
        <w:t xml:space="preserve">“maxillary lateral incisor”</w:t>
      </w:r>
      <w:r>
        <w:t xml:space="preserve">, column a₅: the printed value 0.05890</w:t>
      </w:r>
      <w:r>
        <w:t xml:space="preserve"> </w:t>
      </w:r>
      <w:r>
        <w:t xml:space="preserve">appears to read 0.005890 in the worked example spreadsheets</w:t>
      </w:r>
      <w:r>
        <w:t xml:space="preserve"> </w:t>
      </w:r>
      <w:r>
        <w:t xml:space="preserve">the authors themselves provided as Figure 2a–c. The corrected value</w:t>
      </w:r>
      <w:r>
        <w:t xml:space="preserve"> </w:t>
      </w:r>
      <w:r>
        <w:t xml:space="preserve">reproduces all 25 anchored reference points across the three example</w:t>
      </w:r>
      <w:r>
        <w:t xml:space="preserve"> </w:t>
      </w:r>
      <w:r>
        <w:t xml:space="preserve">patients within 0.17 mm² (&lt; 0.1 %), with full reproducibility code</w:t>
      </w:r>
      <w:r>
        <w:t xml:space="preserve"> </w:t>
      </w:r>
      <w:r>
        <w:t xml:space="preserve">available at the link below.</w:t>
      </w:r>
    </w:p>
    <w:p>
      <w:pPr>
        <w:pStyle w:val="BodyText"/>
      </w:pPr>
      <w:r>
        <w:t xml:space="preserve">Today I have written to Dr. W. Nesse and his co-authors with the</w:t>
      </w:r>
      <w:r>
        <w:t xml:space="preserve"> </w:t>
      </w:r>
      <w:r>
        <w:t xml:space="preserve">underlying evidence and an invitation to consider issuing a Corrigendum</w:t>
      </w:r>
      <w:r>
        <w:t xml:space="preserve"> </w:t>
      </w:r>
      <w:r>
        <w:t xml:space="preserve">under their own authorship.</w:t>
      </w:r>
      <w:r>
        <w:t xml:space="preserve"> </w:t>
      </w:r>
      <w:r>
        <w:rPr>
          <w:b/>
          <w:bCs/>
        </w:rPr>
        <w:t xml:space="preserve">My strong preference is for the correction</w:t>
      </w:r>
      <w:r>
        <w:rPr>
          <w:b/>
          <w:bCs/>
        </w:rPr>
        <w:t xml:space="preserve"> </w:t>
      </w:r>
      <w:r>
        <w:rPr>
          <w:b/>
          <w:bCs/>
        </w:rPr>
        <w:t xml:space="preserve">to appear under the original authors’ names alone, without me as a</w:t>
      </w:r>
      <w:r>
        <w:rPr>
          <w:b/>
          <w:bCs/>
        </w:rPr>
        <w:t xml:space="preserve"> </w:t>
      </w:r>
      <w:r>
        <w:rPr>
          <w:b/>
          <w:bCs/>
        </w:rPr>
        <w:t xml:space="preserve">co-author</w:t>
      </w:r>
      <w:r>
        <w:t xml:space="preserve"> </w:t>
      </w:r>
      <w:r>
        <w:t xml:space="preserve">— my motivation is service to the field, not authorship</w:t>
      </w:r>
      <w:r>
        <w:t xml:space="preserve"> </w:t>
      </w:r>
      <w:r>
        <w:t xml:space="preserve">credit. Should Dr. Nesse and colleagues decline or not respond within</w:t>
      </w:r>
      <w:r>
        <w:t xml:space="preserve"> </w:t>
      </w:r>
      <w:r>
        <w:t xml:space="preserve">approximately four weeks, I intend to submit a Letter to the Editor (or</w:t>
      </w:r>
      <w:r>
        <w:t xml:space="preserve"> </w:t>
      </w:r>
      <w:r>
        <w:t xml:space="preserve">Brief Communication, depending on your preferred format for this type</w:t>
      </w:r>
      <w:r>
        <w:t xml:space="preserve"> </w:t>
      </w:r>
      <w:r>
        <w:t xml:space="preserve">of correction) presenting the same evidence as a fallback.</w:t>
      </w:r>
    </w:p>
    <w:p>
      <w:pPr>
        <w:pStyle w:val="BodyText"/>
      </w:pPr>
      <w:r>
        <w:t xml:space="preserve">I am sending this pre-notification so that, if the Office finds it</w:t>
      </w:r>
      <w:r>
        <w:t xml:space="preserve"> </w:t>
      </w:r>
      <w:r>
        <w:t xml:space="preserve">appropriate, the original article can be flagged in your internal</w:t>
      </w:r>
      <w:r>
        <w:t xml:space="preserve"> </w:t>
      </w:r>
      <w:r>
        <w:t xml:space="preserve">workflow and Crossmark service ahead of the formal Corrigendum</w:t>
      </w:r>
      <w:r>
        <w:t xml:space="preserve"> </w:t>
      </w:r>
      <w:r>
        <w:t xml:space="preserve">submission. The clinical impact is non-trivial — the printed coefficient</w:t>
      </w:r>
      <w:r>
        <w:t xml:space="preserve"> </w:t>
      </w:r>
      <w:r>
        <w:t xml:space="preserve">causes the polynomial to saturate the anatomical root surface at</w:t>
      </w:r>
      <w:r>
        <w:t xml:space="preserve"> </w:t>
      </w:r>
      <w:r>
        <w:t xml:space="preserve">clinical attachment levels around 4.6 mm, which is well within the</w:t>
      </w:r>
      <w:r>
        <w:t xml:space="preserve"> </w:t>
      </w:r>
      <w:r>
        <w:t xml:space="preserve">routine measurement range for moderate periodontitis at the lateral</w:t>
      </w:r>
      <w:r>
        <w:t xml:space="preserve"> </w:t>
      </w:r>
      <w:r>
        <w:t xml:space="preserve">incisors — and I would prefer to limit further uncritical propagation of</w:t>
      </w:r>
      <w:r>
        <w:t xml:space="preserve"> </w:t>
      </w:r>
      <w:r>
        <w:t xml:space="preserve">the printed value in citing software and cohort studies in the interim.</w:t>
      </w:r>
    </w:p>
    <w:p>
      <w:pPr>
        <w:pStyle w:val="BodyText"/>
      </w:pPr>
      <w:r>
        <w:rPr>
          <w:b/>
          <w:bCs/>
        </w:rPr>
        <w:t xml:space="preserve">No action is requested at this time.</w:t>
      </w:r>
      <w:r>
        <w:t xml:space="preserve"> </w:t>
      </w:r>
      <w:r>
        <w:t xml:space="preserve">The full materials, including</w:t>
      </w:r>
      <w:r>
        <w:t xml:space="preserve"> </w:t>
      </w:r>
      <w:r>
        <w:t xml:space="preserve">manuscript draft, figure, and a Python regression-test suite that</w:t>
      </w:r>
      <w:r>
        <w:t xml:space="preserve"> </w:t>
      </w:r>
      <w:r>
        <w:t xml:space="preserve">reproduces the example spreadsheets, are open at:</w:t>
      </w:r>
    </w:p>
    <w:p>
      <w:pPr>
        <w:pStyle w:val="Compact"/>
        <w:numPr>
          <w:ilvl w:val="0"/>
          <w:numId w:val="1001"/>
        </w:numPr>
      </w:pPr>
      <w:r>
        <w:t xml:space="preserve">Repository: https://github.com/tijlvandenberg/nesse-2008-erratum (publicly readable, no login required)</w:t>
      </w:r>
    </w:p>
    <w:p>
      <w:pPr>
        <w:pStyle w:val="Compact"/>
        <w:numPr>
          <w:ilvl w:val="0"/>
          <w:numId w:val="1001"/>
        </w:numPr>
      </w:pPr>
      <w:r>
        <w:t xml:space="preserve">Reproducibility (Zenodo DOI):</w:t>
      </w:r>
      <w:r>
        <w:t xml:space="preserve"> </w:t>
      </w:r>
      <w:r>
        <w:rPr>
          <w:i/>
          <w:iCs/>
        </w:rPr>
        <w:t xml:space="preserve">[in te vullen na release]</w:t>
      </w:r>
    </w:p>
    <w:p>
      <w:pPr>
        <w:pStyle w:val="FirstParagraph"/>
      </w:pPr>
      <w:r>
        <w:t xml:space="preserve">I will of course follow up via the official submission channel should</w:t>
      </w:r>
      <w:r>
        <w:t xml:space="preserve"> </w:t>
      </w:r>
      <w:r>
        <w:t xml:space="preserve">that become necessary. Please do not hesitate to contact me if any</w:t>
      </w:r>
      <w:r>
        <w:t xml:space="preserve"> </w:t>
      </w:r>
      <w:r>
        <w:t xml:space="preserve">clarification would be useful at this stage.</w:t>
      </w:r>
    </w:p>
    <w:p>
      <w:pPr>
        <w:pStyle w:val="BodyText"/>
      </w:pPr>
      <w:r>
        <w:t xml:space="preserve">With kind regards,</w:t>
      </w:r>
    </w:p>
    <w:p>
      <w:pPr>
        <w:pStyle w:val="BodyText"/>
      </w:pPr>
      <w:r>
        <w:t xml:space="preserve">T.H. (Tijl) van den Berg</w:t>
      </w:r>
      <w:r>
        <w:t xml:space="preserve"> </w:t>
      </w:r>
      <w:r>
        <w:t xml:space="preserve">Practice for Periodontology Haarlem, The Netherlands</w:t>
      </w:r>
      <w:r>
        <w:t xml:space="preserve"> </w:t>
      </w:r>
      <w:r>
        <w:rPr>
          <w:i/>
          <w:iCs/>
        </w:rPr>
        <w:t xml:space="preserve">[email] · [ORCID] · [phone]</w:t>
      </w:r>
    </w:p>
    <w:p>
      <w:r>
        <w:pict>
          <v:rect style="width:0;height:1.5pt" o:hralign="center" o:hrstd="t" o:hr="t"/>
        </w:pict>
      </w:r>
    </w:p>
    <w:bookmarkStart w:id="9" w:name="notitie-voor-verzending"/>
    <w:p>
      <w:pPr>
        <w:pStyle w:val="Heading2"/>
      </w:pPr>
      <w:r>
        <w:t xml:space="preserve">Notitie voor verzending</w:t>
      </w:r>
    </w:p>
    <w:p>
      <w:pPr>
        <w:pStyle w:val="Compact"/>
        <w:numPr>
          <w:ilvl w:val="0"/>
          <w:numId w:val="1002"/>
        </w:numPr>
      </w:pPr>
      <w:r>
        <w:t xml:space="preserve">Stuur deze mail</w:t>
      </w:r>
      <w:r>
        <w:t xml:space="preserve"> </w:t>
      </w:r>
      <w:r>
        <w:rPr>
          <w:b/>
          <w:bCs/>
        </w:rPr>
        <w:t xml:space="preserve">parallel met</w:t>
      </w:r>
      <w:r>
        <w:t xml:space="preserve"> </w:t>
      </w:r>
      <w:r>
        <w:t xml:space="preserve">je Nederlandse mail aan Nesse — niet</w:t>
      </w:r>
      <w:r>
        <w:t xml:space="preserve"> </w:t>
      </w:r>
      <w:r>
        <w:t xml:space="preserve">later.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Niet</w:t>
      </w:r>
      <w:r>
        <w:t xml:space="preserve"> </w:t>
      </w:r>
      <w:r>
        <w:t xml:space="preserve">Prof. Donos (huidige Editor-in-Chief sinds april 2026)</w:t>
      </w:r>
      <w:r>
        <w:t xml:space="preserve"> </w:t>
      </w:r>
      <w:r>
        <w:t xml:space="preserve">persoonlijk cc’en; alleen het algemene Editorial-Office adres</w:t>
      </w:r>
      <w:r>
        <w:t xml:space="preserve"> </w:t>
      </w:r>
      <w:r>
        <w:t xml:space="preserve">(</w:t>
      </w:r>
      <w:r>
        <w:rPr>
          <w:rStyle w:val="VerbatimChar"/>
        </w:rPr>
        <w:t xml:space="preserve">jcpe@wiley.com</w:t>
      </w:r>
      <w:r>
        <w:t xml:space="preserve">). Dat houdt het onpersoonlijk en administratief, en</w:t>
      </w:r>
      <w:r>
        <w:t xml:space="preserve"> </w:t>
      </w:r>
      <w:r>
        <w:t xml:space="preserve">voorkomt het signaal</w:t>
      </w:r>
      <w:r>
        <w:t xml:space="preserve"> </w:t>
      </w:r>
      <w:r>
        <w:t xml:space="preserve">“ik ga over Nesse heen”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Vraag uitdrukkelijk om</w:t>
      </w:r>
      <w:r>
        <w:t xml:space="preserve"> </w:t>
      </w:r>
      <w:r>
        <w:rPr>
          <w:b/>
          <w:bCs/>
        </w:rPr>
        <w:t xml:space="preserve">geen actie</w:t>
      </w:r>
      <w:r>
        <w:t xml:space="preserve"> </w:t>
      </w:r>
      <w:r>
        <w:t xml:space="preserve">— dat maakt duidelijk dat het</w:t>
      </w:r>
      <w:r>
        <w:t xml:space="preserve"> </w:t>
      </w:r>
      <w:r>
        <w:t xml:space="preserve">informational is. Crossmark-flagging is iets dat het tijdschrift in</w:t>
      </w:r>
      <w:r>
        <w:t xml:space="preserve"> </w:t>
      </w:r>
      <w:r>
        <w:t xml:space="preserve">eigen tempo kan beslissen.</w:t>
      </w:r>
    </w:p>
    <w:p>
      <w:pPr>
        <w:pStyle w:val="Compact"/>
        <w:numPr>
          <w:ilvl w:val="0"/>
          <w:numId w:val="1002"/>
        </w:numPr>
      </w:pPr>
      <w:r>
        <w:t xml:space="preserve">Voor het huidige Editor-in-Chief en Editorial Office-adres: check</w:t>
      </w:r>
      <w:r>
        <w:t xml:space="preserve"> </w:t>
      </w:r>
      <w:r>
        <w:t xml:space="preserve">https://onlinelibrary.wiley.com/page/journal/1600051x/homepage/forauthors.html</w:t>
      </w:r>
      <w:r>
        <w:t xml:space="preserve"> </w:t>
      </w:r>
      <w:r>
        <w:t xml:space="preserve">net voor verzending — rollen wisselen om de paar jaar.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2026-06-22T21:29:45Z</dcterms:created>
  <dcterms:modified xsi:type="dcterms:W3CDTF">2026-06-22T21:29:45Z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