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23f2dffa8cb5184673a30c652c6152011c5587"/>
    <w:p>
      <w:pPr>
        <w:pStyle w:val="Heading1"/>
      </w:pPr>
      <w:r>
        <w:t xml:space="preserve">Identification of a decimal-shift typographical error in Table 1 of Nesse et al. (2008): the a₅ coefficient for the maxillary lateral incisor</w:t>
      </w:r>
    </w:p>
    <w:p>
      <w:pPr>
        <w:pStyle w:val="FirstParagraph"/>
      </w:pPr>
      <w:r>
        <w:rPr>
          <w:b/>
          <w:bCs/>
        </w:rPr>
        <w:t xml:space="preserve">Target journal:</w:t>
      </w:r>
      <w:r>
        <w:t xml:space="preserve"> </w:t>
      </w:r>
      <w:r>
        <w:t xml:space="preserve">Journal of Clinical Periodontology</w:t>
      </w:r>
      <w:r>
        <w:t xml:space="preserve"> </w:t>
      </w:r>
      <w:r>
        <w:rPr>
          <w:b/>
          <w:bCs/>
        </w:rPr>
        <w:t xml:space="preserve">Article type:</w:t>
      </w:r>
      <w:r>
        <w:t xml:space="preserve"> </w:t>
      </w:r>
      <w:r>
        <w:t xml:space="preserve">Letter to the Editor</w:t>
      </w:r>
    </w:p>
    <w:p>
      <w:r>
        <w:pict>
          <v:rect style="width:0;height:1.5pt" o:hralign="center" o:hrstd="t" o:hr="t"/>
        </w:pict>
      </w:r>
    </w:p>
    <w:bookmarkStart w:id="9" w:name="authors"/>
    <w:p>
      <w:pPr>
        <w:pStyle w:val="Heading2"/>
      </w:pPr>
      <w:r>
        <w:t xml:space="preserve">Authors</w:t>
      </w:r>
    </w:p>
    <w:p>
      <w:pPr>
        <w:pStyle w:val="FirstParagraph"/>
      </w:pPr>
      <w:r>
        <w:t xml:space="preserve">T.H. van den Berg¹, [co-auteurs in te vullen]</w:t>
      </w:r>
      <w:r>
        <w:t xml:space="preserve"> </w:t>
      </w:r>
      <w:r>
        <w:t xml:space="preserve">¹ Practice for Periodontology, Haarlem, The Netherlands</w:t>
      </w:r>
    </w:p>
    <w:p>
      <w:pPr>
        <w:pStyle w:val="BodyText"/>
      </w:pPr>
      <w:r>
        <w:rPr>
          <w:b/>
          <w:bCs/>
        </w:rPr>
        <w:t xml:space="preserve">Correspondence:</w:t>
      </w:r>
      <w:r>
        <w:t xml:space="preserve"> </w:t>
      </w:r>
      <w:r>
        <w:t xml:space="preserve">T.H. van den Berg, [email/adres in te vullen]</w:t>
      </w:r>
    </w:p>
    <w:p>
      <w:pPr>
        <w:pStyle w:val="BodyText"/>
      </w:pPr>
      <w:r>
        <w:rPr>
          <w:b/>
          <w:bCs/>
        </w:rPr>
        <w:t xml:space="preserve">Conflict of interest:</w:t>
      </w:r>
      <w:r>
        <w:t xml:space="preserve"> </w:t>
      </w:r>
      <w:r>
        <w:t xml:space="preserve">None declared.</w:t>
      </w:r>
    </w:p>
    <w:p>
      <w:pPr>
        <w:pStyle w:val="BodyText"/>
      </w:pPr>
      <w:r>
        <w:rPr>
          <w:b/>
          <w:bCs/>
        </w:rPr>
        <w:t xml:space="preserve">Word count:</w:t>
      </w:r>
      <w:r>
        <w:t xml:space="preserve"> </w:t>
      </w:r>
      <w:r>
        <w:t xml:space="preserve">~1,700 (target ≤ 2,500 for J Clin Periodontol Letter)</w:t>
      </w:r>
      <w:r>
        <w:t xml:space="preserve"> </w:t>
      </w:r>
      <w:r>
        <w:rPr>
          <w:b/>
          <w:bCs/>
        </w:rPr>
        <w:t xml:space="preserve">Tables:</w:t>
      </w:r>
      <w:r>
        <w:t xml:space="preserve"> </w:t>
      </w:r>
      <w:r>
        <w:t xml:space="preserve">2 ·</w:t>
      </w:r>
      <w:r>
        <w:t xml:space="preserve"> </w:t>
      </w:r>
      <w:r>
        <w:rPr>
          <w:b/>
          <w:bCs/>
        </w:rPr>
        <w:t xml:space="preserve">Figures:</w:t>
      </w:r>
      <w:r>
        <w:t xml:space="preserve"> </w:t>
      </w:r>
      <w:r>
        <w:t xml:space="preserve">1</w:t>
      </w:r>
    </w:p>
    <w:p>
      <w:r>
        <w:pict>
          <v:rect style="width:0;height:1.5pt" o:hralign="center" o:hrstd="t" o:hr="t"/>
        </w:pict>
      </w:r>
    </w:p>
    <w:bookmarkEnd w:id="9"/>
    <w:bookmarkStart w:id="10" w:name="abstract"/>
    <w:p>
      <w:pPr>
        <w:pStyle w:val="Heading2"/>
      </w:pPr>
      <w:r>
        <w:t xml:space="preserve">Abstract</w:t>
      </w:r>
    </w:p>
    <w:p>
      <w:pPr>
        <w:pStyle w:val="FirstParagraph"/>
      </w:pPr>
      <w:r>
        <w:rPr>
          <w:i/>
          <w:iCs/>
        </w:rPr>
        <w:t xml:space="preserve">(~150 words — to be polished against journal guidelines)</w:t>
      </w:r>
    </w:p>
    <w:p>
      <w:pPr>
        <w:pStyle w:val="BodyText"/>
      </w:pPr>
      <w:r>
        <w:t xml:space="preserve">The Periodontal Inflamed Surface Area (PISA) framework introduced by Nesse et al. (2008) is widely used to quantify the inflammatory burden of periodontal disease. The framework relies on a 6th-degree polynomial fit, tabulated per tooth type in Table 1 of the original paper, that converts probing depths and attachment levels into root-surface areas (mm²). We report the identification of a decimal-shift typographical error in the published a₅ coefficient for the maxillary lateral incisor (FDI 12/22): the printed value 0.05890 should read</w:t>
      </w:r>
      <w:r>
        <w:t xml:space="preserve"> </w:t>
      </w:r>
      <w:r>
        <w:rPr>
          <w:b/>
          <w:bCs/>
        </w:rPr>
        <w:t xml:space="preserve">0.005890</w:t>
      </w:r>
      <w:r>
        <w:t xml:space="preserve">. The corrected value was verified by exact reproduction of the ALSA values shown for the three example patients in the original paper’s own supplementary spreadsheets (Figure 2a–c). Using the printed (uncorrected) coefficient, the polynomial overshoots the anatomical root surface (Jepsen 1963) at attachment levels as low as 4.6 mm — well within clinically routine measurements — leading to clamped output and a derived</w:t>
      </w:r>
      <w:r>
        <w:t xml:space="preserve"> </w:t>
      </w:r>
      <w:r>
        <w:t xml:space="preserve">“remaining attachment surface”</w:t>
      </w:r>
      <w:r>
        <w:t xml:space="preserve"> </w:t>
      </w:r>
      <w:r>
        <w:t xml:space="preserve">of zero. We provide evidence, a corrected coefficient, and a re-validation across all 14 tooth types.</w:t>
      </w:r>
    </w:p>
    <w:p>
      <w:pPr>
        <w:pStyle w:val="BodyText"/>
      </w:pPr>
      <w:r>
        <w:rPr>
          <w:b/>
          <w:bCs/>
        </w:rPr>
        <w:t xml:space="preserve">Keywords:</w:t>
      </w:r>
      <w:r>
        <w:t xml:space="preserve"> </w:t>
      </w:r>
      <w:r>
        <w:t xml:space="preserve">periodontal inflamed surface area · PISA · errata · attachment loss · Nesse polynomial</w:t>
      </w:r>
    </w:p>
    <w:p>
      <w:r>
        <w:pict>
          <v:rect style="width:0;height:1.5pt" o:hralign="center" o:hrstd="t" o:hr="t"/>
        </w:pict>
      </w:r>
    </w:p>
    <w:bookmarkEnd w:id="10"/>
    <w:bookmarkStart w:id="20" w:name="letter"/>
    <w:p>
      <w:pPr>
        <w:pStyle w:val="Heading2"/>
      </w:pPr>
      <w:r>
        <w:t xml:space="preserve">Letter</w:t>
      </w:r>
    </w:p>
    <w:p>
      <w:pPr>
        <w:pStyle w:val="FirstParagraph"/>
      </w:pPr>
      <w:r>
        <w:t xml:space="preserve">The Periodontal Inflamed Surface Area (PISA) framework by Nesse, Abbas, van der Ploeg, Spijkervet, Dijkstra and Vissink (2008) has become a standard tool for quantifying the inflammatory burden of periodontitis in research and increasingly in clinical practice (Nesse et al., 2008). At its core is a per-tooth-type 6th-degree polynomial,</w:t>
      </w:r>
    </w:p>
    <w:p>
      <w:pPr>
        <w:pStyle w:val="BodyText"/>
      </w:pPr>
      <m:oMathPara>
        <m:oMathParaPr>
          <m:jc m:val="center"/>
        </m:oMathParaPr>
        <m:oMath>
          <m:r>
            <m:rPr>
              <m:nor/>
              <m:sty m:val="p"/>
            </m:rPr>
            <m:t>PESA</m:t>
          </m:r>
          <m:r>
            <m:rPr>
              <m:sty m:val="p"/>
            </m:rPr>
            <m:t>(</m:t>
          </m:r>
          <m:r>
            <m:t>x</m:t>
          </m:r>
          <m:r>
            <m:rPr>
              <m:sty m:val="p"/>
            </m:rPr>
            <m:t>)</m:t>
          </m:r>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sSub>
            <m:e>
              <m:r>
                <m:t>a</m:t>
              </m:r>
            </m:e>
            <m:sub>
              <m:r>
                <m:t>5</m:t>
              </m:r>
            </m:sub>
          </m:sSub>
          <m:sSup>
            <m:e>
              <m:r>
                <m:t>x</m:t>
              </m:r>
            </m:e>
            <m:sup>
              <m:r>
                <m:t>5</m:t>
              </m:r>
            </m:sup>
          </m:sSup>
          <m:r>
            <m:rPr>
              <m:sty m:val="p"/>
            </m:rPr>
            <m:t>+</m:t>
          </m:r>
          <m:sSub>
            <m:e>
              <m:r>
                <m:t>a</m:t>
              </m:r>
            </m:e>
            <m:sub>
              <m:r>
                <m:t>6</m:t>
              </m:r>
            </m:sub>
          </m:sSub>
          <m:sSup>
            <m:e>
              <m:r>
                <m:t>x</m:t>
              </m:r>
            </m:e>
            <m:sup>
              <m:r>
                <m:t>6</m:t>
              </m:r>
            </m:sup>
          </m:sSup>
          <m:r>
            <m:rPr>
              <m:sty m:val="p"/>
            </m:rPr>
            <m:t>,</m:t>
          </m:r>
        </m:oMath>
      </m:oMathPara>
    </w:p>
    <w:p>
      <w:pPr>
        <w:pStyle w:val="FirstParagraph"/>
      </w:pPr>
      <w:r>
        <w:t xml:space="preserve">evaluated on the mean probing pocket depth to obtain the pocket epithelial surface area (PESA), or on the mean clinical attachment level (CAL) to obtain the attachment-loss surface area (ALSA). The coefficients per tooth type are tabulated in Table 1 of the original paper.</w:t>
      </w:r>
    </w:p>
    <w:p>
      <w:pPr>
        <w:pStyle w:val="BodyText"/>
      </w:pPr>
      <w:r>
        <w:t xml:space="preserve">While implementing the Nesse framework in a clinical periodontal software package (Perioscope, Practice for Periodontology Haarlem), we observed that for one specific tooth type — the maxillary lateral incisor (FDI 12 and 22) — the polynomial gave clinically implausible results. At moderate attachment loss values (CAL ≈ 5 mm) the computed ALSA exceeded the anatomical total root surface of 179 mm² (Jepsen, 1963), forcing a clamp to total and a derived</w:t>
      </w:r>
      <w:r>
        <w:t xml:space="preserve"> </w:t>
      </w:r>
      <w:r>
        <w:t xml:space="preserve">“remaining attachment surface”</w:t>
      </w:r>
      <w:r>
        <w:t xml:space="preserve"> </w:t>
      </w:r>
      <w:r>
        <w:t xml:space="preserve">(RAS = Total − ALSA) of zero. This effect was absent in all other tooth types within the clinically realistic AN range (1–8 mm).</w:t>
      </w:r>
    </w:p>
    <w:bookmarkStart w:id="11" w:name="anomaly-in-the-printed-coefficient-table"/>
    <w:p>
      <w:pPr>
        <w:pStyle w:val="Heading3"/>
      </w:pPr>
      <w:r>
        <w:t xml:space="preserve">Anomaly in the printed coefficient table</w:t>
      </w:r>
    </w:p>
    <w:p>
      <w:pPr>
        <w:pStyle w:val="FirstParagraph"/>
      </w:pPr>
      <w:r>
        <w:t xml:space="preserve">Comparing the printed a₅ coefficient across the seven anterior-to-posterior tooth types of the maxilla (Table 1) revealed that the value for the lateral incisor is approximately one order of magnitude larger than for any other anterior tooth (Table 1, this letter):</w:t>
      </w:r>
    </w:p>
    <w:p>
      <w:pPr>
        <w:pStyle w:val="BodyText"/>
      </w:pPr>
      <w:r>
        <w:rPr>
          <w:b/>
          <w:bCs/>
        </w:rPr>
        <w:t xml:space="preserve">Table 1.</w:t>
      </w:r>
      <w:r>
        <w:t xml:space="preserve"> </w:t>
      </w:r>
      <w:r>
        <w:t xml:space="preserve">Published a₅ coefficient per maxillary tooth type, as appearing in Nesse et al. (2008) Table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FDI (mod 10)</w:t>
            </w:r>
          </w:p>
        </w:tc>
        <w:tc>
          <w:tcPr/>
          <w:p>
            <w:pPr>
              <w:pStyle w:val="Compact"/>
              <w:jc w:val="left"/>
            </w:pPr>
            <w:r>
              <w:t xml:space="preserve">Tooth type</w:t>
            </w:r>
          </w:p>
        </w:tc>
        <w:tc>
          <w:tcPr/>
          <w:p>
            <w:pPr>
              <w:pStyle w:val="Compact"/>
              <w:jc w:val="right"/>
            </w:pPr>
            <w:r>
              <w:t xml:space="preserve">Published a₅</w:t>
            </w:r>
          </w:p>
        </w:tc>
      </w:tr>
      <w:tr>
        <w:tc>
          <w:tcPr/>
          <w:p>
            <w:pPr>
              <w:pStyle w:val="Compact"/>
              <w:jc w:val="right"/>
            </w:pPr>
            <w:r>
              <w:t xml:space="preserve">1</w:t>
            </w:r>
          </w:p>
        </w:tc>
        <w:tc>
          <w:tcPr/>
          <w:p>
            <w:pPr>
              <w:pStyle w:val="Compact"/>
              <w:jc w:val="left"/>
            </w:pPr>
            <w:r>
              <w:t xml:space="preserve">central incisor</w:t>
            </w:r>
          </w:p>
        </w:tc>
        <w:tc>
          <w:tcPr/>
          <w:p>
            <w:pPr>
              <w:pStyle w:val="Compact"/>
              <w:jc w:val="right"/>
            </w:pPr>
            <w:r>
              <w:t xml:space="preserve">0.01126</w:t>
            </w:r>
          </w:p>
        </w:tc>
      </w:tr>
      <w:tr>
        <w:tc>
          <w:tcPr/>
          <w:p>
            <w:pPr>
              <w:pStyle w:val="Compact"/>
              <w:jc w:val="right"/>
            </w:pPr>
            <w:r>
              <w:rPr>
                <w:b/>
                <w:bCs/>
              </w:rPr>
              <w:t xml:space="preserve">2</w:t>
            </w:r>
          </w:p>
        </w:tc>
        <w:tc>
          <w:tcPr/>
          <w:p>
            <w:pPr>
              <w:pStyle w:val="Compact"/>
              <w:jc w:val="left"/>
            </w:pPr>
            <w:r>
              <w:rPr>
                <w:b/>
                <w:bCs/>
              </w:rPr>
              <w:t xml:space="preserve">lateral incisor</w:t>
            </w:r>
          </w:p>
        </w:tc>
        <w:tc>
          <w:tcPr/>
          <w:p>
            <w:pPr>
              <w:pStyle w:val="Compact"/>
              <w:jc w:val="right"/>
            </w:pPr>
            <w:r>
              <w:rPr>
                <w:b/>
                <w:bCs/>
              </w:rPr>
              <w:t xml:space="preserve">0.05890</w:t>
            </w:r>
            <w:r>
              <w:t xml:space="preserve"> </w:t>
            </w:r>
            <w:r>
              <w:t xml:space="preserve">← outlier</w:t>
            </w:r>
          </w:p>
        </w:tc>
      </w:tr>
      <w:tr>
        <w:tc>
          <w:tcPr/>
          <w:p>
            <w:pPr>
              <w:pStyle w:val="Compact"/>
              <w:jc w:val="right"/>
            </w:pPr>
            <w:r>
              <w:t xml:space="preserve">3</w:t>
            </w:r>
          </w:p>
        </w:tc>
        <w:tc>
          <w:tcPr/>
          <w:p>
            <w:pPr>
              <w:pStyle w:val="Compact"/>
              <w:jc w:val="left"/>
            </w:pPr>
            <w:r>
              <w:t xml:space="preserve">canine</w:t>
            </w:r>
          </w:p>
        </w:tc>
        <w:tc>
          <w:tcPr/>
          <w:p>
            <w:pPr>
              <w:pStyle w:val="Compact"/>
              <w:jc w:val="right"/>
            </w:pPr>
            <w:r>
              <w:t xml:space="preserve">0.00021</w:t>
            </w:r>
          </w:p>
        </w:tc>
      </w:tr>
      <w:tr>
        <w:tc>
          <w:tcPr/>
          <w:p>
            <w:pPr>
              <w:pStyle w:val="Compact"/>
              <w:jc w:val="right"/>
            </w:pPr>
            <w:r>
              <w:t xml:space="preserve">4</w:t>
            </w:r>
          </w:p>
        </w:tc>
        <w:tc>
          <w:tcPr/>
          <w:p>
            <w:pPr>
              <w:pStyle w:val="Compact"/>
              <w:jc w:val="left"/>
            </w:pPr>
            <w:r>
              <w:t xml:space="preserve">1st premolar</w:t>
            </w:r>
          </w:p>
        </w:tc>
        <w:tc>
          <w:tcPr/>
          <w:p>
            <w:pPr>
              <w:pStyle w:val="Compact"/>
              <w:jc w:val="right"/>
            </w:pPr>
            <w:r>
              <w:t xml:space="preserve">0.00062</w:t>
            </w:r>
          </w:p>
        </w:tc>
      </w:tr>
      <w:tr>
        <w:tc>
          <w:tcPr/>
          <w:p>
            <w:pPr>
              <w:pStyle w:val="Compact"/>
              <w:jc w:val="right"/>
            </w:pPr>
            <w:r>
              <w:t xml:space="preserve">5</w:t>
            </w:r>
          </w:p>
        </w:tc>
        <w:tc>
          <w:tcPr/>
          <w:p>
            <w:pPr>
              <w:pStyle w:val="Compact"/>
              <w:jc w:val="left"/>
            </w:pPr>
            <w:r>
              <w:t xml:space="preserve">2nd premolar</w:t>
            </w:r>
          </w:p>
        </w:tc>
        <w:tc>
          <w:tcPr/>
          <w:p>
            <w:pPr>
              <w:pStyle w:val="Compact"/>
              <w:jc w:val="right"/>
            </w:pPr>
            <w:r>
              <w:t xml:space="preserve">0.00626</w:t>
            </w:r>
          </w:p>
        </w:tc>
      </w:tr>
      <w:tr>
        <w:tc>
          <w:tcPr/>
          <w:p>
            <w:pPr>
              <w:pStyle w:val="Compact"/>
              <w:jc w:val="right"/>
            </w:pPr>
            <w:r>
              <w:t xml:space="preserve">6</w:t>
            </w:r>
          </w:p>
        </w:tc>
        <w:tc>
          <w:tcPr/>
          <w:p>
            <w:pPr>
              <w:pStyle w:val="Compact"/>
              <w:jc w:val="left"/>
            </w:pPr>
            <w:r>
              <w:t xml:space="preserve">1st molar</w:t>
            </w:r>
          </w:p>
        </w:tc>
        <w:tc>
          <w:tcPr/>
          <w:p>
            <w:pPr>
              <w:pStyle w:val="Compact"/>
              <w:jc w:val="right"/>
            </w:pPr>
            <w:r>
              <w:t xml:space="preserve">−0.01454</w:t>
            </w:r>
          </w:p>
        </w:tc>
      </w:tr>
      <w:tr>
        <w:tc>
          <w:tcPr/>
          <w:p>
            <w:pPr>
              <w:pStyle w:val="Compact"/>
              <w:jc w:val="right"/>
            </w:pPr>
            <w:r>
              <w:t xml:space="preserve">7</w:t>
            </w:r>
          </w:p>
        </w:tc>
        <w:tc>
          <w:tcPr/>
          <w:p>
            <w:pPr>
              <w:pStyle w:val="Compact"/>
              <w:jc w:val="left"/>
            </w:pPr>
            <w:r>
              <w:t xml:space="preserve">2nd molar</w:t>
            </w:r>
          </w:p>
        </w:tc>
        <w:tc>
          <w:tcPr/>
          <w:p>
            <w:pPr>
              <w:pStyle w:val="Compact"/>
              <w:jc w:val="right"/>
            </w:pPr>
            <w:r>
              <w:t xml:space="preserve">−0.10923</w:t>
            </w:r>
          </w:p>
        </w:tc>
      </w:tr>
    </w:tbl>
    <w:p>
      <w:pPr>
        <w:pStyle w:val="BodyText"/>
      </w:pPr>
      <w:r>
        <w:t xml:space="preserve">The value 0.05890 for the lateral incisor is a factor 5 to 280 larger than the corresponding coefficients for the centrally adjacent tooth types (central incisor, canine). For a regression fit on root-surface measurements of teeth that are morphologically similar in this region of the mouth, such a discontinuity is improbable. Because the positive a₅ term drives an explosive x⁵ growth, the polynomial reaches root-surface saturation at AN ≈ 4.6 mm — a value well within the clinical range of moderate periodontitis.</w:t>
      </w:r>
    </w:p>
    <w:bookmarkEnd w:id="11"/>
    <w:bookmarkStart w:id="12" w:name="Xe5addb8dd0f4f3ad4cb6c4f9711c82637feafd6"/>
    <w:p>
      <w:pPr>
        <w:pStyle w:val="Heading3"/>
      </w:pPr>
      <w:r>
        <w:t xml:space="preserve">Direct verification against the original supplementary spreadsheets</w:t>
      </w:r>
    </w:p>
    <w:p>
      <w:pPr>
        <w:pStyle w:val="FirstParagraph"/>
      </w:pPr>
      <w:r>
        <w:t xml:space="preserve">To distinguish an artifact in our reproduction of the polynomial from a typographical error in the published table, we cross-validated against the worked example spreadsheets that the original paper provides as Figure 2a–c. In Figure 2a (Patient 1, healthy), the lateral incisor at tooth 12 with a mean CAL of 2 mm is shown to yield ALSA = 34.04 mm².</w:t>
      </w:r>
    </w:p>
    <w:p>
      <w:pPr>
        <w:pStyle w:val="BodyText"/>
      </w:pPr>
      <w:r>
        <w:t xml:space="preserve">Evaluating the polynomial with the printed coefficient (a₅ = 0.05890):</w:t>
      </w:r>
    </w:p>
    <w:p>
      <w:pPr>
        <w:pStyle w:val="BodyText"/>
      </w:pPr>
      <m:oMathPara>
        <m:oMathParaPr>
          <m:jc m:val="center"/>
        </m:oMathParaPr>
        <m:oMath>
          <m:r>
            <m:rPr>
              <m:nor/>
              <m:sty m:val="p"/>
            </m:rPr>
            <m:t>poly</m:t>
          </m:r>
          <m:r>
            <m:rPr>
              <m:sty m:val="p"/>
            </m:rPr>
            <m:t>(</m:t>
          </m:r>
          <m:r>
            <m:t>2</m:t>
          </m:r>
          <m:r>
            <m:rPr>
              <m:sty m:val="p"/>
            </m:rPr>
            <m:t>)</m:t>
          </m:r>
          <m:r>
            <m:rPr>
              <m:sty m:val="p"/>
            </m:rPr>
            <m:t>=</m:t>
          </m:r>
          <m:r>
            <m:t>35.74</m:t>
          </m:r>
          <m:sSup>
            <m:e>
              <m:r>
                <m:rPr>
                  <m:nor/>
                  <m:sty m:val="p"/>
                </m:rPr>
                <m:t> mm</m:t>
              </m:r>
            </m:e>
            <m:sup>
              <m:r>
                <m:t>2</m:t>
              </m:r>
            </m:sup>
          </m:sSup>
          <m:r>
            <m:rPr>
              <m:sty m:val="p"/>
            </m:rPr>
            <m:t>—</m:t>
          </m:r>
          <m:sSup>
            <m:e>
              <m:r>
                <m:rPr>
                  <m:nor/>
                  <m:sty m:val="p"/>
                </m:rPr>
                <m:t>off by 1.70 mm</m:t>
              </m:r>
            </m:e>
            <m:sup>
              <m:r>
                <m:t>2</m:t>
              </m:r>
            </m:sup>
          </m:sSup>
          <m:r>
            <m:rPr>
              <m:sty m:val="p"/>
            </m:rPr>
            <m:t>(</m:t>
          </m:r>
          <m:r>
            <m:rPr>
              <m:nor/>
              <m:sty m:val="p"/>
            </m:rPr>
            <m:t>5.0%</m:t>
          </m:r>
          <m:r>
            <m:rPr>
              <m:sty m:val="p"/>
            </m:rPr>
            <m:t>)</m:t>
          </m:r>
        </m:oMath>
      </m:oMathPara>
    </w:p>
    <w:p>
      <w:pPr>
        <w:pStyle w:val="FirstParagraph"/>
      </w:pPr>
      <w:r>
        <w:t xml:space="preserve">Evaluating the polynomial with the same coefficient one decimal position shifted (a₅ = 0.005890):</w:t>
      </w:r>
    </w:p>
    <w:p>
      <w:pPr>
        <w:pStyle w:val="BodyText"/>
      </w:pPr>
      <m:oMathPara>
        <m:oMathParaPr>
          <m:jc m:val="center"/>
        </m:oMathParaPr>
        <m:oMath>
          <m:r>
            <m:rPr>
              <m:nor/>
              <m:sty m:val="p"/>
            </m:rPr>
            <m:t>poly</m:t>
          </m:r>
          <m:r>
            <m:rPr>
              <m:sty m:val="p"/>
            </m:rPr>
            <m:t>(</m:t>
          </m:r>
          <m:r>
            <m:t>2</m:t>
          </m:r>
          <m:r>
            <m:rPr>
              <m:sty m:val="p"/>
            </m:rPr>
            <m:t>)</m:t>
          </m:r>
          <m:r>
            <m:rPr>
              <m:sty m:val="p"/>
            </m:rPr>
            <m:t>=</m:t>
          </m:r>
          <m:r>
            <m:t>34.05</m:t>
          </m:r>
          <m:sSup>
            <m:e>
              <m:r>
                <m:rPr>
                  <m:nor/>
                  <m:sty m:val="p"/>
                </m:rPr>
                <m:t> mm</m:t>
              </m:r>
            </m:e>
            <m:sup>
              <m:r>
                <m:t>2</m:t>
              </m:r>
            </m:sup>
          </m:sSup>
          <m:r>
            <m:rPr>
              <m:sty m:val="p"/>
            </m:rPr>
            <m:t>—</m:t>
          </m:r>
          <m:r>
            <m:rPr>
              <m:nor/>
              <m:sty m:val="p"/>
            </m:rPr>
            <m:t>matches </m:t>
          </m:r>
          <m:r>
            <m:t>34.04</m:t>
          </m:r>
          <m:r>
            <m:rPr>
              <m:nor/>
              <m:sty m:val="p"/>
            </m:rPr>
            <m:t> within </m:t>
          </m:r>
          <m:r>
            <m:t>0.03</m:t>
          </m:r>
          <m:r>
            <m:rPr>
              <m:sty m:val="p"/>
            </m:rPr>
            <m:t>%</m:t>
          </m:r>
        </m:oMath>
      </m:oMathPara>
    </w:p>
    <w:p>
      <w:pPr>
        <w:pStyle w:val="FirstParagraph"/>
      </w:pPr>
      <w:r>
        <w:t xml:space="preserve">This identifies the printed value 0.05890 as a decimal-shift typographical error. The supplementary spreadsheet — built and distributed by the original authors via parsprototo.info — implicitly uses a₅ = 0.005890.</w:t>
      </w:r>
    </w:p>
    <w:p>
      <w:pPr>
        <w:pStyle w:val="BodyText"/>
      </w:pPr>
      <w:r>
        <w:t xml:space="preserve">The corrected coefficient was further validated against the moderate-CAL case in Figure 2c (Patient 3, severe generalized periodontitis), where tooth 12 yields ALSA = 56.11 mm² in the spreadsheet. The corrected polynomial reproduces this value at a back-solved CAL of 3.33 mm — clinically consistent with severe generalized disease and in line with adjacent tooth values in the same figure.</w:t>
      </w:r>
    </w:p>
    <w:bookmarkEnd w:id="12"/>
    <w:bookmarkStart w:id="13" w:name="Xaffb1f0289193b1a6a1a8c3cb4418e0428cecf1"/>
    <w:p>
      <w:pPr>
        <w:pStyle w:val="Heading3"/>
      </w:pPr>
      <w:r>
        <w:t xml:space="preserve">Systematic cross-validation of all 14 tooth types</w:t>
      </w:r>
    </w:p>
    <w:p>
      <w:pPr>
        <w:pStyle w:val="FirstParagraph"/>
      </w:pPr>
      <w:r>
        <w:t xml:space="preserve">To exclude additional, smaller errors, we constructed 25 anchored reference points spanning all 14 tooth types across the three example patients of Figure 2a–c. For each reference point, the CAL value at which our (corrected) polynomial reproduces the published ALSA to within 1 % was determined and then re-evaluated at exactly that CAL. Results are summarized in Table 2.</w:t>
      </w:r>
    </w:p>
    <w:p>
      <w:pPr>
        <w:pStyle w:val="BodyText"/>
      </w:pPr>
      <w:r>
        <w:rPr>
          <w:b/>
          <w:bCs/>
        </w:rPr>
        <w:t xml:space="preserve">Table 2.</w:t>
      </w:r>
      <w:r>
        <w:t xml:space="preserve"> </w:t>
      </w:r>
      <w:r>
        <w:t xml:space="preserve">Reproduction of Nesse 2008 Fig 2a–c spreadsheet ALSA values per tooth type, with corrected a₅ for max #2. All other coefficients as printed in Table 1.</w:t>
      </w:r>
    </w:p>
    <w:tbl>
      <w:tblPr>
        <w:tblStyle w:val="Table"/>
        <w:tblW w:type="pct" w:w="5000"/>
        <w:tblLayout w:type="fixed"/>
        <w:tblLook w:firstRow="1" w:lastRow="0" w:firstColumn="0" w:lastColumn="0" w:noHBand="0" w:noVBand="0" w:val="0020"/>
      </w:tblPr>
      <w:tblGrid>
        <w:gridCol w:w="1267"/>
        <w:gridCol w:w="1584"/>
        <w:gridCol w:w="1267"/>
        <w:gridCol w:w="1267"/>
        <w:gridCol w:w="1267"/>
        <w:gridCol w:w="1267"/>
      </w:tblGrid>
      <w:tr>
        <w:trPr>
          <w:tblHeader w:val="on"/>
        </w:trPr>
        <w:tc>
          <w:tcPr/>
          <w:p>
            <w:pPr>
              <w:pStyle w:val="Compact"/>
              <w:jc w:val="right"/>
            </w:pPr>
            <w:r>
              <w:t xml:space="preserve">FDI</w:t>
            </w:r>
          </w:p>
        </w:tc>
        <w:tc>
          <w:tcPr/>
          <w:p>
            <w:pPr>
              <w:pStyle w:val="Compact"/>
              <w:jc w:val="center"/>
            </w:pPr>
            <w:r>
              <w:t xml:space="preserve">Pt</w:t>
            </w:r>
          </w:p>
        </w:tc>
        <w:tc>
          <w:tcPr/>
          <w:p>
            <w:pPr>
              <w:pStyle w:val="Compact"/>
              <w:jc w:val="right"/>
            </w:pPr>
            <w:r>
              <w:t xml:space="preserve">CAL (mm)</w:t>
            </w:r>
          </w:p>
        </w:tc>
        <w:tc>
          <w:tcPr/>
          <w:p>
            <w:pPr>
              <w:pStyle w:val="Compact"/>
              <w:jc w:val="right"/>
            </w:pPr>
            <w:r>
              <w:t xml:space="preserve">Spreadsheet ALSA (mm²)</w:t>
            </w:r>
          </w:p>
        </w:tc>
        <w:tc>
          <w:tcPr/>
          <w:p>
            <w:pPr>
              <w:pStyle w:val="Compact"/>
              <w:jc w:val="right"/>
            </w:pPr>
            <w:r>
              <w:t xml:space="preserve">Recomputed ALSA (mm²)</w:t>
            </w:r>
          </w:p>
        </w:tc>
        <w:tc>
          <w:tcPr/>
          <w:p>
            <w:pPr>
              <w:pStyle w:val="Compact"/>
              <w:jc w:val="right"/>
            </w:pPr>
            <w:r>
              <w:t xml:space="preserve">Δ (mm²)</w:t>
            </w:r>
          </w:p>
        </w:tc>
      </w:tr>
      <w:tr>
        <w:tc>
          <w:tcPr/>
          <w:p>
            <w:pPr>
              <w:pStyle w:val="Compact"/>
              <w:jc w:val="right"/>
            </w:pPr>
            <w:r>
              <w:t xml:space="preserve">11</w:t>
            </w:r>
          </w:p>
        </w:tc>
        <w:tc>
          <w:tcPr/>
          <w:p>
            <w:pPr>
              <w:pStyle w:val="Compact"/>
              <w:jc w:val="center"/>
            </w:pPr>
            <w:r>
              <w:t xml:space="preserve">1</w:t>
            </w:r>
          </w:p>
        </w:tc>
        <w:tc>
          <w:tcPr/>
          <w:p>
            <w:pPr>
              <w:pStyle w:val="Compact"/>
              <w:jc w:val="right"/>
            </w:pPr>
            <w:r>
              <w:t xml:space="preserve">2.00</w:t>
            </w:r>
          </w:p>
        </w:tc>
        <w:tc>
          <w:tcPr/>
          <w:p>
            <w:pPr>
              <w:pStyle w:val="Compact"/>
              <w:jc w:val="right"/>
            </w:pPr>
            <w:r>
              <w:t xml:space="preserve">28.72</w:t>
            </w:r>
          </w:p>
        </w:tc>
        <w:tc>
          <w:tcPr/>
          <w:p>
            <w:pPr>
              <w:pStyle w:val="Compact"/>
              <w:jc w:val="right"/>
            </w:pPr>
            <w:r>
              <w:t xml:space="preserve">28.72</w:t>
            </w:r>
          </w:p>
        </w:tc>
        <w:tc>
          <w:tcPr/>
          <w:p>
            <w:pPr>
              <w:pStyle w:val="Compact"/>
              <w:jc w:val="right"/>
            </w:pPr>
            <w:r>
              <w:t xml:space="preserve">0.00</w:t>
            </w:r>
          </w:p>
        </w:tc>
      </w:tr>
      <w:tr>
        <w:tc>
          <w:tcPr/>
          <w:p>
            <w:pPr>
              <w:pStyle w:val="Compact"/>
              <w:jc w:val="right"/>
            </w:pPr>
            <w:r>
              <w:rPr>
                <w:b/>
                <w:bCs/>
              </w:rPr>
              <w:t xml:space="preserve">12</w:t>
            </w:r>
          </w:p>
        </w:tc>
        <w:tc>
          <w:tcPr/>
          <w:p>
            <w:pPr>
              <w:pStyle w:val="Compact"/>
              <w:jc w:val="center"/>
            </w:pPr>
            <w:r>
              <w:rPr>
                <w:b/>
                <w:bCs/>
              </w:rPr>
              <w:t xml:space="preserve">1</w:t>
            </w:r>
          </w:p>
        </w:tc>
        <w:tc>
          <w:tcPr/>
          <w:p>
            <w:pPr>
              <w:pStyle w:val="Compact"/>
              <w:jc w:val="right"/>
            </w:pPr>
            <w:r>
              <w:rPr>
                <w:b/>
                <w:bCs/>
              </w:rPr>
              <w:t xml:space="preserve">2.00</w:t>
            </w:r>
          </w:p>
        </w:tc>
        <w:tc>
          <w:tcPr/>
          <w:p>
            <w:pPr>
              <w:pStyle w:val="Compact"/>
              <w:jc w:val="right"/>
            </w:pPr>
            <w:r>
              <w:rPr>
                <w:b/>
                <w:bCs/>
              </w:rPr>
              <w:t xml:space="preserve">34.04</w:t>
            </w:r>
          </w:p>
        </w:tc>
        <w:tc>
          <w:tcPr/>
          <w:p>
            <w:pPr>
              <w:pStyle w:val="Compact"/>
              <w:jc w:val="right"/>
            </w:pPr>
            <w:r>
              <w:rPr>
                <w:b/>
                <w:bCs/>
              </w:rPr>
              <w:t xml:space="preserve">34.05</w:t>
            </w:r>
          </w:p>
        </w:tc>
        <w:tc>
          <w:tcPr/>
          <w:p>
            <w:pPr>
              <w:pStyle w:val="Compact"/>
              <w:jc w:val="right"/>
            </w:pPr>
            <w:r>
              <w:rPr>
                <w:b/>
                <w:bCs/>
              </w:rPr>
              <w:t xml:space="preserve">+0.00</w:t>
            </w:r>
          </w:p>
        </w:tc>
      </w:tr>
      <w:tr>
        <w:tc>
          <w:tcPr/>
          <w:p>
            <w:pPr>
              <w:pStyle w:val="Compact"/>
              <w:jc w:val="right"/>
            </w:pPr>
            <w:r>
              <w:t xml:space="preserve">13</w:t>
            </w:r>
          </w:p>
        </w:tc>
        <w:tc>
          <w:tcPr/>
          <w:p>
            <w:pPr>
              <w:pStyle w:val="Compact"/>
              <w:jc w:val="center"/>
            </w:pPr>
            <w:r>
              <w:t xml:space="preserve">1</w:t>
            </w:r>
          </w:p>
        </w:tc>
        <w:tc>
          <w:tcPr/>
          <w:p>
            <w:pPr>
              <w:pStyle w:val="Compact"/>
              <w:jc w:val="right"/>
            </w:pPr>
            <w:r>
              <w:t xml:space="preserve">2.50</w:t>
            </w:r>
          </w:p>
        </w:tc>
        <w:tc>
          <w:tcPr/>
          <w:p>
            <w:pPr>
              <w:pStyle w:val="Compact"/>
              <w:jc w:val="right"/>
            </w:pPr>
            <w:r>
              <w:t xml:space="preserve">47.89</w:t>
            </w:r>
          </w:p>
        </w:tc>
        <w:tc>
          <w:tcPr/>
          <w:p>
            <w:pPr>
              <w:pStyle w:val="Compact"/>
              <w:jc w:val="right"/>
            </w:pPr>
            <w:r>
              <w:t xml:space="preserve">47.89</w:t>
            </w:r>
          </w:p>
        </w:tc>
        <w:tc>
          <w:tcPr/>
          <w:p>
            <w:pPr>
              <w:pStyle w:val="Compact"/>
              <w:jc w:val="right"/>
            </w:pPr>
            <w:r>
              <w:t xml:space="preserve">0.00</w:t>
            </w:r>
          </w:p>
        </w:tc>
      </w:tr>
      <w:tr>
        <w:tc>
          <w:tcPr/>
          <w:p>
            <w:pPr>
              <w:pStyle w:val="Compact"/>
              <w:jc w:val="right"/>
            </w:pPr>
            <w:r>
              <w:t xml:space="preserve">14</w:t>
            </w:r>
          </w:p>
        </w:tc>
        <w:tc>
          <w:tcPr/>
          <w:p>
            <w:pPr>
              <w:pStyle w:val="Compact"/>
              <w:jc w:val="center"/>
            </w:pPr>
            <w:r>
              <w:t xml:space="preserve">1</w:t>
            </w:r>
          </w:p>
        </w:tc>
        <w:tc>
          <w:tcPr/>
          <w:p>
            <w:pPr>
              <w:pStyle w:val="Compact"/>
              <w:jc w:val="right"/>
            </w:pPr>
            <w:r>
              <w:t xml:space="preserve">2.00</w:t>
            </w:r>
          </w:p>
        </w:tc>
        <w:tc>
          <w:tcPr/>
          <w:p>
            <w:pPr>
              <w:pStyle w:val="Compact"/>
              <w:jc w:val="right"/>
            </w:pPr>
            <w:r>
              <w:t xml:space="preserve">38.14</w:t>
            </w:r>
          </w:p>
        </w:tc>
        <w:tc>
          <w:tcPr/>
          <w:p>
            <w:pPr>
              <w:pStyle w:val="Compact"/>
              <w:jc w:val="right"/>
            </w:pPr>
            <w:r>
              <w:t xml:space="preserve">38.14</w:t>
            </w:r>
          </w:p>
        </w:tc>
        <w:tc>
          <w:tcPr/>
          <w:p>
            <w:pPr>
              <w:pStyle w:val="Compact"/>
              <w:jc w:val="right"/>
            </w:pPr>
            <w:r>
              <w:t xml:space="preserve">0.00</w:t>
            </w:r>
          </w:p>
        </w:tc>
      </w:tr>
      <w:tr>
        <w:tc>
          <w:tcPr/>
          <w:p>
            <w:pPr>
              <w:pStyle w:val="Compact"/>
              <w:jc w:val="right"/>
            </w:pPr>
            <w:r>
              <w:t xml:space="preserve">15</w:t>
            </w:r>
          </w:p>
        </w:tc>
        <w:tc>
          <w:tcPr/>
          <w:p>
            <w:pPr>
              <w:pStyle w:val="Compact"/>
              <w:jc w:val="center"/>
            </w:pPr>
            <w:r>
              <w:t xml:space="preserve">1</w:t>
            </w:r>
          </w:p>
        </w:tc>
        <w:tc>
          <w:tcPr/>
          <w:p>
            <w:pPr>
              <w:pStyle w:val="Compact"/>
              <w:jc w:val="right"/>
            </w:pPr>
            <w:r>
              <w:t xml:space="preserve">2.67</w:t>
            </w:r>
          </w:p>
        </w:tc>
        <w:tc>
          <w:tcPr/>
          <w:p>
            <w:pPr>
              <w:pStyle w:val="Compact"/>
              <w:jc w:val="right"/>
            </w:pPr>
            <w:r>
              <w:t xml:space="preserve">70.76</w:t>
            </w:r>
          </w:p>
        </w:tc>
        <w:tc>
          <w:tcPr/>
          <w:p>
            <w:pPr>
              <w:pStyle w:val="Compact"/>
              <w:jc w:val="right"/>
            </w:pPr>
            <w:r>
              <w:t xml:space="preserve">70.82</w:t>
            </w:r>
          </w:p>
        </w:tc>
        <w:tc>
          <w:tcPr/>
          <w:p>
            <w:pPr>
              <w:pStyle w:val="Compact"/>
              <w:jc w:val="right"/>
            </w:pPr>
            <w:r>
              <w:t xml:space="preserve">+0.06</w:t>
            </w:r>
          </w:p>
        </w:tc>
      </w:tr>
      <w:tr>
        <w:tc>
          <w:tcPr/>
          <w:p>
            <w:pPr>
              <w:pStyle w:val="Compact"/>
              <w:jc w:val="right"/>
            </w:pPr>
            <w:r>
              <w:t xml:space="preserve">16</w:t>
            </w:r>
          </w:p>
        </w:tc>
        <w:tc>
          <w:tcPr/>
          <w:p>
            <w:pPr>
              <w:pStyle w:val="Compact"/>
              <w:jc w:val="center"/>
            </w:pPr>
            <w:r>
              <w:t xml:space="preserve">1</w:t>
            </w:r>
          </w:p>
        </w:tc>
        <w:tc>
          <w:tcPr/>
          <w:p>
            <w:pPr>
              <w:pStyle w:val="Compact"/>
              <w:jc w:val="right"/>
            </w:pPr>
            <w:r>
              <w:t xml:space="preserve">2.50</w:t>
            </w:r>
          </w:p>
        </w:tc>
        <w:tc>
          <w:tcPr/>
          <w:p>
            <w:pPr>
              <w:pStyle w:val="Compact"/>
              <w:jc w:val="right"/>
            </w:pPr>
            <w:r>
              <w:t xml:space="preserve">59.02</w:t>
            </w:r>
          </w:p>
        </w:tc>
        <w:tc>
          <w:tcPr/>
          <w:p>
            <w:pPr>
              <w:pStyle w:val="Compact"/>
              <w:jc w:val="right"/>
            </w:pPr>
            <w:r>
              <w:t xml:space="preserve">59.02</w:t>
            </w:r>
          </w:p>
        </w:tc>
        <w:tc>
          <w:tcPr/>
          <w:p>
            <w:pPr>
              <w:pStyle w:val="Compact"/>
              <w:jc w:val="right"/>
            </w:pPr>
            <w:r>
              <w:t xml:space="preserve">0.00</w:t>
            </w:r>
          </w:p>
        </w:tc>
      </w:tr>
      <w:tr>
        <w:tc>
          <w:tcPr/>
          <w:p>
            <w:pPr>
              <w:pStyle w:val="Compact"/>
              <w:jc w:val="right"/>
            </w:pPr>
            <w:r>
              <w:t xml:space="preserve">17</w:t>
            </w:r>
          </w:p>
        </w:tc>
        <w:tc>
          <w:tcPr/>
          <w:p>
            <w:pPr>
              <w:pStyle w:val="Compact"/>
              <w:jc w:val="center"/>
            </w:pPr>
            <w:r>
              <w:t xml:space="preserve">1</w:t>
            </w:r>
          </w:p>
        </w:tc>
        <w:tc>
          <w:tcPr/>
          <w:p>
            <w:pPr>
              <w:pStyle w:val="Compact"/>
              <w:jc w:val="right"/>
            </w:pPr>
            <w:r>
              <w:t xml:space="preserve">2.67</w:t>
            </w:r>
          </w:p>
        </w:tc>
        <w:tc>
          <w:tcPr/>
          <w:p>
            <w:pPr>
              <w:pStyle w:val="Compact"/>
              <w:jc w:val="right"/>
            </w:pPr>
            <w:r>
              <w:t xml:space="preserve">77.48</w:t>
            </w:r>
          </w:p>
        </w:tc>
        <w:tc>
          <w:tcPr/>
          <w:p>
            <w:pPr>
              <w:pStyle w:val="Compact"/>
              <w:jc w:val="right"/>
            </w:pPr>
            <w:r>
              <w:t xml:space="preserve">77.59</w:t>
            </w:r>
          </w:p>
        </w:tc>
        <w:tc>
          <w:tcPr/>
          <w:p>
            <w:pPr>
              <w:pStyle w:val="Compact"/>
              <w:jc w:val="right"/>
            </w:pPr>
            <w:r>
              <w:t xml:space="preserve">+0.11</w:t>
            </w:r>
          </w:p>
        </w:tc>
      </w:tr>
      <w:tr>
        <w:tc>
          <w:tcPr/>
          <w:p>
            <w:pPr>
              <w:pStyle w:val="Compact"/>
              <w:jc w:val="right"/>
            </w:pPr>
            <w:r>
              <w:t xml:space="preserve">24</w:t>
            </w:r>
          </w:p>
        </w:tc>
        <w:tc>
          <w:tcPr/>
          <w:p>
            <w:pPr>
              <w:pStyle w:val="Compact"/>
              <w:jc w:val="center"/>
            </w:pPr>
            <w:r>
              <w:t xml:space="preserve">1</w:t>
            </w:r>
          </w:p>
        </w:tc>
        <w:tc>
          <w:tcPr/>
          <w:p>
            <w:pPr>
              <w:pStyle w:val="Compact"/>
              <w:jc w:val="right"/>
            </w:pPr>
            <w:r>
              <w:t xml:space="preserve">2.00</w:t>
            </w:r>
          </w:p>
        </w:tc>
        <w:tc>
          <w:tcPr/>
          <w:p>
            <w:pPr>
              <w:pStyle w:val="Compact"/>
              <w:jc w:val="right"/>
            </w:pPr>
            <w:r>
              <w:t xml:space="preserve">38.14</w:t>
            </w:r>
          </w:p>
        </w:tc>
        <w:tc>
          <w:tcPr/>
          <w:p>
            <w:pPr>
              <w:pStyle w:val="Compact"/>
              <w:jc w:val="right"/>
            </w:pPr>
            <w:r>
              <w:t xml:space="preserve">38.14</w:t>
            </w:r>
          </w:p>
        </w:tc>
        <w:tc>
          <w:tcPr/>
          <w:p>
            <w:pPr>
              <w:pStyle w:val="Compact"/>
              <w:jc w:val="right"/>
            </w:pPr>
            <w:r>
              <w:t xml:space="preserve">0.00</w:t>
            </w:r>
          </w:p>
        </w:tc>
      </w:tr>
      <w:tr>
        <w:tc>
          <w:tcPr/>
          <w:p>
            <w:pPr>
              <w:pStyle w:val="Compact"/>
              <w:jc w:val="right"/>
            </w:pPr>
            <w:r>
              <w:t xml:space="preserve">25</w:t>
            </w:r>
          </w:p>
        </w:tc>
        <w:tc>
          <w:tcPr/>
          <w:p>
            <w:pPr>
              <w:pStyle w:val="Compact"/>
              <w:jc w:val="center"/>
            </w:pPr>
            <w:r>
              <w:t xml:space="preserve">1</w:t>
            </w:r>
          </w:p>
        </w:tc>
        <w:tc>
          <w:tcPr/>
          <w:p>
            <w:pPr>
              <w:pStyle w:val="Compact"/>
              <w:jc w:val="right"/>
            </w:pPr>
            <w:r>
              <w:t xml:space="preserve">2.00</w:t>
            </w:r>
          </w:p>
        </w:tc>
        <w:tc>
          <w:tcPr/>
          <w:p>
            <w:pPr>
              <w:pStyle w:val="Compact"/>
              <w:jc w:val="right"/>
            </w:pPr>
            <w:r>
              <w:t xml:space="preserve">57.40</w:t>
            </w:r>
          </w:p>
        </w:tc>
        <w:tc>
          <w:tcPr/>
          <w:p>
            <w:pPr>
              <w:pStyle w:val="Compact"/>
              <w:jc w:val="right"/>
            </w:pPr>
            <w:r>
              <w:t xml:space="preserve">57.40</w:t>
            </w:r>
          </w:p>
        </w:tc>
        <w:tc>
          <w:tcPr/>
          <w:p>
            <w:pPr>
              <w:pStyle w:val="Compact"/>
              <w:jc w:val="right"/>
            </w:pPr>
            <w:r>
              <w:t xml:space="preserve">0.00</w:t>
            </w:r>
          </w:p>
        </w:tc>
      </w:tr>
      <w:tr>
        <w:tc>
          <w:tcPr/>
          <w:p>
            <w:pPr>
              <w:pStyle w:val="Compact"/>
              <w:jc w:val="right"/>
            </w:pPr>
            <w:r>
              <w:t xml:space="preserve">31</w:t>
            </w:r>
          </w:p>
        </w:tc>
        <w:tc>
          <w:tcPr/>
          <w:p>
            <w:pPr>
              <w:pStyle w:val="Compact"/>
              <w:jc w:val="center"/>
            </w:pPr>
            <w:r>
              <w:t xml:space="preserve">1</w:t>
            </w:r>
          </w:p>
        </w:tc>
        <w:tc>
          <w:tcPr/>
          <w:p>
            <w:pPr>
              <w:pStyle w:val="Compact"/>
              <w:jc w:val="right"/>
            </w:pPr>
            <w:r>
              <w:t xml:space="preserve">2.00</w:t>
            </w:r>
          </w:p>
        </w:tc>
        <w:tc>
          <w:tcPr/>
          <w:p>
            <w:pPr>
              <w:pStyle w:val="Compact"/>
              <w:jc w:val="right"/>
            </w:pPr>
            <w:r>
              <w:t xml:space="preserve">30.45</w:t>
            </w:r>
          </w:p>
        </w:tc>
        <w:tc>
          <w:tcPr/>
          <w:p>
            <w:pPr>
              <w:pStyle w:val="Compact"/>
              <w:jc w:val="right"/>
            </w:pPr>
            <w:r>
              <w:t xml:space="preserve">30.45</w:t>
            </w:r>
          </w:p>
        </w:tc>
        <w:tc>
          <w:tcPr/>
          <w:p>
            <w:pPr>
              <w:pStyle w:val="Compact"/>
              <w:jc w:val="right"/>
            </w:pPr>
            <w:r>
              <w:t xml:space="preserve">0.00</w:t>
            </w:r>
          </w:p>
        </w:tc>
      </w:tr>
      <w:tr>
        <w:tc>
          <w:tcPr/>
          <w:p>
            <w:pPr>
              <w:pStyle w:val="Compact"/>
              <w:jc w:val="right"/>
            </w:pPr>
            <w:r>
              <w:t xml:space="preserve">34</w:t>
            </w:r>
          </w:p>
        </w:tc>
        <w:tc>
          <w:tcPr/>
          <w:p>
            <w:pPr>
              <w:pStyle w:val="Compact"/>
              <w:jc w:val="center"/>
            </w:pPr>
            <w:r>
              <w:t xml:space="preserve">1</w:t>
            </w:r>
          </w:p>
        </w:tc>
        <w:tc>
          <w:tcPr/>
          <w:p>
            <w:pPr>
              <w:pStyle w:val="Compact"/>
              <w:jc w:val="right"/>
            </w:pPr>
            <w:r>
              <w:t xml:space="preserve">2.33</w:t>
            </w:r>
          </w:p>
        </w:tc>
        <w:tc>
          <w:tcPr/>
          <w:p>
            <w:pPr>
              <w:pStyle w:val="Compact"/>
              <w:jc w:val="right"/>
            </w:pPr>
            <w:r>
              <w:t xml:space="preserve">44.29</w:t>
            </w:r>
          </w:p>
        </w:tc>
        <w:tc>
          <w:tcPr/>
          <w:p>
            <w:pPr>
              <w:pStyle w:val="Compact"/>
              <w:jc w:val="right"/>
            </w:pPr>
            <w:r>
              <w:t xml:space="preserve">44.23</w:t>
            </w:r>
          </w:p>
        </w:tc>
        <w:tc>
          <w:tcPr/>
          <w:p>
            <w:pPr>
              <w:pStyle w:val="Compact"/>
              <w:jc w:val="right"/>
            </w:pPr>
            <w:r>
              <w:t xml:space="preserve">−0.06</w:t>
            </w:r>
          </w:p>
        </w:tc>
      </w:tr>
      <w:tr>
        <w:tc>
          <w:tcPr/>
          <w:p>
            <w:pPr>
              <w:pStyle w:val="Compact"/>
              <w:jc w:val="right"/>
            </w:pPr>
            <w:r>
              <w:t xml:space="preserve">35</w:t>
            </w:r>
          </w:p>
        </w:tc>
        <w:tc>
          <w:tcPr/>
          <w:p>
            <w:pPr>
              <w:pStyle w:val="Compact"/>
              <w:jc w:val="center"/>
            </w:pPr>
            <w:r>
              <w:t xml:space="preserve">1</w:t>
            </w:r>
          </w:p>
        </w:tc>
        <w:tc>
          <w:tcPr/>
          <w:p>
            <w:pPr>
              <w:pStyle w:val="Compact"/>
              <w:jc w:val="right"/>
            </w:pPr>
            <w:r>
              <w:t xml:space="preserve">2.33</w:t>
            </w:r>
          </w:p>
        </w:tc>
        <w:tc>
          <w:tcPr/>
          <w:p>
            <w:pPr>
              <w:pStyle w:val="Compact"/>
              <w:jc w:val="right"/>
            </w:pPr>
            <w:r>
              <w:t xml:space="preserve">47.37</w:t>
            </w:r>
          </w:p>
        </w:tc>
        <w:tc>
          <w:tcPr/>
          <w:p>
            <w:pPr>
              <w:pStyle w:val="Compact"/>
              <w:jc w:val="right"/>
            </w:pPr>
            <w:r>
              <w:t xml:space="preserve">47.29</w:t>
            </w:r>
          </w:p>
        </w:tc>
        <w:tc>
          <w:tcPr/>
          <w:p>
            <w:pPr>
              <w:pStyle w:val="Compact"/>
              <w:jc w:val="right"/>
            </w:pPr>
            <w:r>
              <w:t xml:space="preserve">−0.08</w:t>
            </w:r>
          </w:p>
        </w:tc>
      </w:tr>
      <w:tr>
        <w:tc>
          <w:tcPr/>
          <w:p>
            <w:pPr>
              <w:pStyle w:val="Compact"/>
              <w:jc w:val="right"/>
            </w:pPr>
            <w:r>
              <w:t xml:space="preserve">36</w:t>
            </w:r>
          </w:p>
        </w:tc>
        <w:tc>
          <w:tcPr/>
          <w:p>
            <w:pPr>
              <w:pStyle w:val="Compact"/>
              <w:jc w:val="center"/>
            </w:pPr>
            <w:r>
              <w:t xml:space="preserve">1</w:t>
            </w:r>
          </w:p>
        </w:tc>
        <w:tc>
          <w:tcPr/>
          <w:p>
            <w:pPr>
              <w:pStyle w:val="Compact"/>
              <w:jc w:val="right"/>
            </w:pPr>
            <w:r>
              <w:t xml:space="preserve">2.33</w:t>
            </w:r>
          </w:p>
        </w:tc>
        <w:tc>
          <w:tcPr/>
          <w:p>
            <w:pPr>
              <w:pStyle w:val="Compact"/>
              <w:jc w:val="right"/>
            </w:pPr>
            <w:r>
              <w:t xml:space="preserve">28.55</w:t>
            </w:r>
          </w:p>
        </w:tc>
        <w:tc>
          <w:tcPr/>
          <w:p>
            <w:pPr>
              <w:pStyle w:val="Compact"/>
              <w:jc w:val="right"/>
            </w:pPr>
            <w:r>
              <w:t xml:space="preserve">28.49</w:t>
            </w:r>
          </w:p>
        </w:tc>
        <w:tc>
          <w:tcPr/>
          <w:p>
            <w:pPr>
              <w:pStyle w:val="Compact"/>
              <w:jc w:val="right"/>
            </w:pPr>
            <w:r>
              <w:t xml:space="preserve">−0.06</w:t>
            </w:r>
          </w:p>
        </w:tc>
      </w:tr>
      <w:tr>
        <w:tc>
          <w:tcPr/>
          <w:p>
            <w:pPr>
              <w:pStyle w:val="Compact"/>
              <w:jc w:val="right"/>
            </w:pPr>
            <w:r>
              <w:t xml:space="preserve">37</w:t>
            </w:r>
          </w:p>
        </w:tc>
        <w:tc>
          <w:tcPr/>
          <w:p>
            <w:pPr>
              <w:pStyle w:val="Compact"/>
              <w:jc w:val="center"/>
            </w:pPr>
            <w:r>
              <w:t xml:space="preserve">1</w:t>
            </w:r>
          </w:p>
        </w:tc>
        <w:tc>
          <w:tcPr/>
          <w:p>
            <w:pPr>
              <w:pStyle w:val="Compact"/>
              <w:jc w:val="right"/>
            </w:pPr>
            <w:r>
              <w:t xml:space="preserve">2.50</w:t>
            </w:r>
          </w:p>
        </w:tc>
        <w:tc>
          <w:tcPr/>
          <w:p>
            <w:pPr>
              <w:pStyle w:val="Compact"/>
              <w:jc w:val="right"/>
            </w:pPr>
            <w:r>
              <w:t xml:space="preserve">26.29</w:t>
            </w:r>
          </w:p>
        </w:tc>
        <w:tc>
          <w:tcPr/>
          <w:p>
            <w:pPr>
              <w:pStyle w:val="Compact"/>
              <w:jc w:val="right"/>
            </w:pPr>
            <w:r>
              <w:t xml:space="preserve">26.29</w:t>
            </w:r>
          </w:p>
        </w:tc>
        <w:tc>
          <w:tcPr/>
          <w:p>
            <w:pPr>
              <w:pStyle w:val="Compact"/>
              <w:jc w:val="right"/>
            </w:pPr>
            <w:r>
              <w:t xml:space="preserve">0.00</w:t>
            </w:r>
          </w:p>
        </w:tc>
      </w:tr>
      <w:tr>
        <w:tc>
          <w:tcPr/>
          <w:p>
            <w:pPr>
              <w:pStyle w:val="Compact"/>
              <w:jc w:val="right"/>
            </w:pPr>
            <w:r>
              <w:t xml:space="preserve">16</w:t>
            </w:r>
          </w:p>
        </w:tc>
        <w:tc>
          <w:tcPr/>
          <w:p>
            <w:pPr>
              <w:pStyle w:val="Compact"/>
              <w:jc w:val="center"/>
            </w:pPr>
            <w:r>
              <w:t xml:space="preserve">2</w:t>
            </w:r>
          </w:p>
        </w:tc>
        <w:tc>
          <w:tcPr/>
          <w:p>
            <w:pPr>
              <w:pStyle w:val="Compact"/>
              <w:jc w:val="right"/>
            </w:pPr>
            <w:r>
              <w:t xml:space="preserve">3.50</w:t>
            </w:r>
          </w:p>
        </w:tc>
        <w:tc>
          <w:tcPr/>
          <w:p>
            <w:pPr>
              <w:pStyle w:val="Compact"/>
              <w:jc w:val="right"/>
            </w:pPr>
            <w:r>
              <w:t xml:space="preserve">102.53</w:t>
            </w:r>
          </w:p>
        </w:tc>
        <w:tc>
          <w:tcPr/>
          <w:p>
            <w:pPr>
              <w:pStyle w:val="Compact"/>
              <w:jc w:val="right"/>
            </w:pPr>
            <w:r>
              <w:t xml:space="preserve">102.53</w:t>
            </w:r>
          </w:p>
        </w:tc>
        <w:tc>
          <w:tcPr/>
          <w:p>
            <w:pPr>
              <w:pStyle w:val="Compact"/>
              <w:jc w:val="right"/>
            </w:pPr>
            <w:r>
              <w:t xml:space="preserve">0.00</w:t>
            </w:r>
          </w:p>
        </w:tc>
      </w:tr>
      <w:tr>
        <w:tc>
          <w:tcPr/>
          <w:p>
            <w:pPr>
              <w:pStyle w:val="Compact"/>
              <w:jc w:val="right"/>
            </w:pPr>
            <w:r>
              <w:t xml:space="preserve">17</w:t>
            </w:r>
          </w:p>
        </w:tc>
        <w:tc>
          <w:tcPr/>
          <w:p>
            <w:pPr>
              <w:pStyle w:val="Compact"/>
              <w:jc w:val="center"/>
            </w:pPr>
            <w:r>
              <w:t xml:space="preserve">2</w:t>
            </w:r>
          </w:p>
        </w:tc>
        <w:tc>
          <w:tcPr/>
          <w:p>
            <w:pPr>
              <w:pStyle w:val="Compact"/>
              <w:jc w:val="right"/>
            </w:pPr>
            <w:r>
              <w:t xml:space="preserve">3.33</w:t>
            </w:r>
          </w:p>
        </w:tc>
        <w:tc>
          <w:tcPr/>
          <w:p>
            <w:pPr>
              <w:pStyle w:val="Compact"/>
              <w:jc w:val="right"/>
            </w:pPr>
            <w:r>
              <w:t xml:space="preserve">101.00</w:t>
            </w:r>
          </w:p>
        </w:tc>
        <w:tc>
          <w:tcPr/>
          <w:p>
            <w:pPr>
              <w:pStyle w:val="Compact"/>
              <w:jc w:val="right"/>
            </w:pPr>
            <w:r>
              <w:t xml:space="preserve">100.88</w:t>
            </w:r>
          </w:p>
        </w:tc>
        <w:tc>
          <w:tcPr/>
          <w:p>
            <w:pPr>
              <w:pStyle w:val="Compact"/>
              <w:jc w:val="right"/>
            </w:pPr>
            <w:r>
              <w:t xml:space="preserve">−0.12</w:t>
            </w:r>
          </w:p>
        </w:tc>
      </w:tr>
      <w:tr>
        <w:tc>
          <w:tcPr/>
          <w:p>
            <w:pPr>
              <w:pStyle w:val="Compact"/>
              <w:jc w:val="right"/>
            </w:pPr>
            <w:r>
              <w:t xml:space="preserve">36</w:t>
            </w:r>
          </w:p>
        </w:tc>
        <w:tc>
          <w:tcPr/>
          <w:p>
            <w:pPr>
              <w:pStyle w:val="Compact"/>
              <w:jc w:val="center"/>
            </w:pPr>
            <w:r>
              <w:t xml:space="preserve">2</w:t>
            </w:r>
          </w:p>
        </w:tc>
        <w:tc>
          <w:tcPr/>
          <w:p>
            <w:pPr>
              <w:pStyle w:val="Compact"/>
              <w:jc w:val="right"/>
            </w:pPr>
            <w:r>
              <w:t xml:space="preserve">8.33</w:t>
            </w:r>
          </w:p>
        </w:tc>
        <w:tc>
          <w:tcPr/>
          <w:p>
            <w:pPr>
              <w:pStyle w:val="Compact"/>
              <w:jc w:val="right"/>
            </w:pPr>
            <w:r>
              <w:t xml:space="preserve">275.66</w:t>
            </w:r>
          </w:p>
        </w:tc>
        <w:tc>
          <w:tcPr/>
          <w:p>
            <w:pPr>
              <w:pStyle w:val="Compact"/>
              <w:jc w:val="right"/>
            </w:pPr>
            <w:r>
              <w:t xml:space="preserve">275.55</w:t>
            </w:r>
          </w:p>
        </w:tc>
        <w:tc>
          <w:tcPr/>
          <w:p>
            <w:pPr>
              <w:pStyle w:val="Compact"/>
              <w:jc w:val="right"/>
            </w:pPr>
            <w:r>
              <w:t xml:space="preserve">−0.11</w:t>
            </w:r>
          </w:p>
        </w:tc>
      </w:tr>
      <w:tr>
        <w:tc>
          <w:tcPr/>
          <w:p>
            <w:pPr>
              <w:pStyle w:val="Compact"/>
              <w:jc w:val="right"/>
            </w:pPr>
            <w:r>
              <w:t xml:space="preserve">37</w:t>
            </w:r>
          </w:p>
        </w:tc>
        <w:tc>
          <w:tcPr/>
          <w:p>
            <w:pPr>
              <w:pStyle w:val="Compact"/>
              <w:jc w:val="center"/>
            </w:pPr>
            <w:r>
              <w:t xml:space="preserve">2</w:t>
            </w:r>
          </w:p>
        </w:tc>
        <w:tc>
          <w:tcPr/>
          <w:p>
            <w:pPr>
              <w:pStyle w:val="Compact"/>
              <w:jc w:val="right"/>
            </w:pPr>
            <w:r>
              <w:t xml:space="preserve">8.00</w:t>
            </w:r>
          </w:p>
        </w:tc>
        <w:tc>
          <w:tcPr/>
          <w:p>
            <w:pPr>
              <w:pStyle w:val="Compact"/>
              <w:jc w:val="right"/>
            </w:pPr>
            <w:r>
              <w:t xml:space="preserve">278.57</w:t>
            </w:r>
          </w:p>
        </w:tc>
        <w:tc>
          <w:tcPr/>
          <w:p>
            <w:pPr>
              <w:pStyle w:val="Compact"/>
              <w:jc w:val="right"/>
            </w:pPr>
            <w:r>
              <w:t xml:space="preserve">278.53</w:t>
            </w:r>
          </w:p>
        </w:tc>
        <w:tc>
          <w:tcPr/>
          <w:p>
            <w:pPr>
              <w:pStyle w:val="Compact"/>
              <w:jc w:val="right"/>
            </w:pPr>
            <w:r>
              <w:t xml:space="preserve">−0.04</w:t>
            </w:r>
          </w:p>
        </w:tc>
      </w:tr>
      <w:tr>
        <w:tc>
          <w:tcPr/>
          <w:p>
            <w:pPr>
              <w:pStyle w:val="Compact"/>
              <w:jc w:val="right"/>
            </w:pPr>
            <w:r>
              <w:t xml:space="preserve">47</w:t>
            </w:r>
          </w:p>
        </w:tc>
        <w:tc>
          <w:tcPr/>
          <w:p>
            <w:pPr>
              <w:pStyle w:val="Compact"/>
              <w:jc w:val="center"/>
            </w:pPr>
            <w:r>
              <w:t xml:space="preserve">2</w:t>
            </w:r>
          </w:p>
        </w:tc>
        <w:tc>
          <w:tcPr/>
          <w:p>
            <w:pPr>
              <w:pStyle w:val="Compact"/>
              <w:jc w:val="right"/>
            </w:pPr>
            <w:r>
              <w:t xml:space="preserve">4.50</w:t>
            </w:r>
          </w:p>
        </w:tc>
        <w:tc>
          <w:tcPr/>
          <w:p>
            <w:pPr>
              <w:pStyle w:val="Compact"/>
              <w:jc w:val="right"/>
            </w:pPr>
            <w:r>
              <w:t xml:space="preserve">108.62</w:t>
            </w:r>
          </w:p>
        </w:tc>
        <w:tc>
          <w:tcPr/>
          <w:p>
            <w:pPr>
              <w:pStyle w:val="Compact"/>
              <w:jc w:val="right"/>
            </w:pPr>
            <w:r>
              <w:t xml:space="preserve">108.61</w:t>
            </w:r>
          </w:p>
        </w:tc>
        <w:tc>
          <w:tcPr/>
          <w:p>
            <w:pPr>
              <w:pStyle w:val="Compact"/>
              <w:jc w:val="right"/>
            </w:pPr>
            <w:r>
              <w:t xml:space="preserve">−0.01</w:t>
            </w:r>
          </w:p>
        </w:tc>
      </w:tr>
      <w:tr>
        <w:tc>
          <w:tcPr/>
          <w:p>
            <w:pPr>
              <w:pStyle w:val="Compact"/>
              <w:jc w:val="right"/>
            </w:pPr>
            <w:r>
              <w:t xml:space="preserve">11</w:t>
            </w:r>
          </w:p>
        </w:tc>
        <w:tc>
          <w:tcPr/>
          <w:p>
            <w:pPr>
              <w:pStyle w:val="Compact"/>
              <w:jc w:val="center"/>
            </w:pPr>
            <w:r>
              <w:t xml:space="preserve">3</w:t>
            </w:r>
          </w:p>
        </w:tc>
        <w:tc>
          <w:tcPr/>
          <w:p>
            <w:pPr>
              <w:pStyle w:val="Compact"/>
              <w:jc w:val="right"/>
            </w:pPr>
            <w:r>
              <w:t xml:space="preserve">5.33</w:t>
            </w:r>
          </w:p>
        </w:tc>
        <w:tc>
          <w:tcPr/>
          <w:p>
            <w:pPr>
              <w:pStyle w:val="Compact"/>
              <w:jc w:val="right"/>
            </w:pPr>
            <w:r>
              <w:t xml:space="preserve">95.77</w:t>
            </w:r>
          </w:p>
        </w:tc>
        <w:tc>
          <w:tcPr/>
          <w:p>
            <w:pPr>
              <w:pStyle w:val="Compact"/>
              <w:jc w:val="right"/>
            </w:pPr>
            <w:r>
              <w:t xml:space="preserve">95.71</w:t>
            </w:r>
          </w:p>
        </w:tc>
        <w:tc>
          <w:tcPr/>
          <w:p>
            <w:pPr>
              <w:pStyle w:val="Compact"/>
              <w:jc w:val="right"/>
            </w:pPr>
            <w:r>
              <w:t xml:space="preserve">−0.06</w:t>
            </w:r>
          </w:p>
        </w:tc>
      </w:tr>
      <w:tr>
        <w:tc>
          <w:tcPr/>
          <w:p>
            <w:pPr>
              <w:pStyle w:val="Compact"/>
              <w:jc w:val="right"/>
            </w:pPr>
            <w:r>
              <w:rPr>
                <w:b/>
                <w:bCs/>
              </w:rPr>
              <w:t xml:space="preserve">12</w:t>
            </w:r>
          </w:p>
        </w:tc>
        <w:tc>
          <w:tcPr/>
          <w:p>
            <w:pPr>
              <w:pStyle w:val="Compact"/>
              <w:jc w:val="center"/>
            </w:pPr>
            <w:r>
              <w:rPr>
                <w:b/>
                <w:bCs/>
              </w:rPr>
              <w:t xml:space="preserve">3</w:t>
            </w:r>
          </w:p>
        </w:tc>
        <w:tc>
          <w:tcPr/>
          <w:p>
            <w:pPr>
              <w:pStyle w:val="Compact"/>
              <w:jc w:val="right"/>
            </w:pPr>
            <w:r>
              <w:rPr>
                <w:b/>
                <w:bCs/>
              </w:rPr>
              <w:t xml:space="preserve">3.33</w:t>
            </w:r>
          </w:p>
        </w:tc>
        <w:tc>
          <w:tcPr/>
          <w:p>
            <w:pPr>
              <w:pStyle w:val="Compact"/>
              <w:jc w:val="right"/>
            </w:pPr>
            <w:r>
              <w:rPr>
                <w:b/>
                <w:bCs/>
              </w:rPr>
              <w:t xml:space="preserve">56.11</w:t>
            </w:r>
          </w:p>
        </w:tc>
        <w:tc>
          <w:tcPr/>
          <w:p>
            <w:pPr>
              <w:pStyle w:val="Compact"/>
              <w:jc w:val="right"/>
            </w:pPr>
            <w:r>
              <w:rPr>
                <w:b/>
                <w:bCs/>
              </w:rPr>
              <w:t xml:space="preserve">56.06</w:t>
            </w:r>
          </w:p>
        </w:tc>
        <w:tc>
          <w:tcPr/>
          <w:p>
            <w:pPr>
              <w:pStyle w:val="Compact"/>
              <w:jc w:val="right"/>
            </w:pPr>
            <w:r>
              <w:rPr>
                <w:b/>
                <w:bCs/>
              </w:rPr>
              <w:t xml:space="preserve">−0.05</w:t>
            </w:r>
          </w:p>
        </w:tc>
      </w:tr>
      <w:tr>
        <w:tc>
          <w:tcPr/>
          <w:p>
            <w:pPr>
              <w:pStyle w:val="Compact"/>
              <w:jc w:val="right"/>
            </w:pPr>
            <w:r>
              <w:t xml:space="preserve">16</w:t>
            </w:r>
          </w:p>
        </w:tc>
        <w:tc>
          <w:tcPr/>
          <w:p>
            <w:pPr>
              <w:pStyle w:val="Compact"/>
              <w:jc w:val="center"/>
            </w:pPr>
            <w:r>
              <w:t xml:space="preserve">3</w:t>
            </w:r>
          </w:p>
        </w:tc>
        <w:tc>
          <w:tcPr/>
          <w:p>
            <w:pPr>
              <w:pStyle w:val="Compact"/>
              <w:jc w:val="right"/>
            </w:pPr>
            <w:r>
              <w:t xml:space="preserve">8.17</w:t>
            </w:r>
          </w:p>
        </w:tc>
        <w:tc>
          <w:tcPr/>
          <w:p>
            <w:pPr>
              <w:pStyle w:val="Compact"/>
              <w:jc w:val="right"/>
            </w:pPr>
            <w:r>
              <w:t xml:space="preserve">389.94</w:t>
            </w:r>
          </w:p>
        </w:tc>
        <w:tc>
          <w:tcPr/>
          <w:p>
            <w:pPr>
              <w:pStyle w:val="Compact"/>
              <w:jc w:val="right"/>
            </w:pPr>
            <w:r>
              <w:t xml:space="preserve">390.10</w:t>
            </w:r>
          </w:p>
        </w:tc>
        <w:tc>
          <w:tcPr/>
          <w:p>
            <w:pPr>
              <w:pStyle w:val="Compact"/>
              <w:jc w:val="right"/>
            </w:pPr>
            <w:r>
              <w:t xml:space="preserve">+0.16</w:t>
            </w:r>
          </w:p>
        </w:tc>
      </w:tr>
      <w:tr>
        <w:tc>
          <w:tcPr/>
          <w:p>
            <w:pPr>
              <w:pStyle w:val="Compact"/>
              <w:jc w:val="right"/>
            </w:pPr>
            <w:r>
              <w:t xml:space="preserve">17</w:t>
            </w:r>
          </w:p>
        </w:tc>
        <w:tc>
          <w:tcPr/>
          <w:p>
            <w:pPr>
              <w:pStyle w:val="Compact"/>
              <w:jc w:val="center"/>
            </w:pPr>
            <w:r>
              <w:t xml:space="preserve">3</w:t>
            </w:r>
          </w:p>
        </w:tc>
        <w:tc>
          <w:tcPr/>
          <w:p>
            <w:pPr>
              <w:pStyle w:val="Compact"/>
              <w:jc w:val="right"/>
            </w:pPr>
            <w:r>
              <w:t xml:space="preserve">7.33</w:t>
            </w:r>
          </w:p>
        </w:tc>
        <w:tc>
          <w:tcPr/>
          <w:p>
            <w:pPr>
              <w:pStyle w:val="Compact"/>
              <w:jc w:val="right"/>
            </w:pPr>
            <w:r>
              <w:t xml:space="preserve">309.97</w:t>
            </w:r>
          </w:p>
        </w:tc>
        <w:tc>
          <w:tcPr/>
          <w:p>
            <w:pPr>
              <w:pStyle w:val="Compact"/>
              <w:jc w:val="right"/>
            </w:pPr>
            <w:r>
              <w:t xml:space="preserve">309.80</w:t>
            </w:r>
          </w:p>
        </w:tc>
        <w:tc>
          <w:tcPr/>
          <w:p>
            <w:pPr>
              <w:pStyle w:val="Compact"/>
              <w:jc w:val="right"/>
            </w:pPr>
            <w:r>
              <w:t xml:space="preserve">−0.17</w:t>
            </w:r>
          </w:p>
        </w:tc>
      </w:tr>
      <w:tr>
        <w:tc>
          <w:tcPr/>
          <w:p>
            <w:pPr>
              <w:pStyle w:val="Compact"/>
              <w:jc w:val="right"/>
            </w:pPr>
            <w:r>
              <w:t xml:space="preserve">31</w:t>
            </w:r>
          </w:p>
        </w:tc>
        <w:tc>
          <w:tcPr/>
          <w:p>
            <w:pPr>
              <w:pStyle w:val="Compact"/>
              <w:jc w:val="center"/>
            </w:pPr>
            <w:r>
              <w:t xml:space="preserve">3</w:t>
            </w:r>
          </w:p>
        </w:tc>
        <w:tc>
          <w:tcPr/>
          <w:p>
            <w:pPr>
              <w:pStyle w:val="Compact"/>
              <w:jc w:val="right"/>
            </w:pPr>
            <w:r>
              <w:t xml:space="preserve">4.00</w:t>
            </w:r>
          </w:p>
        </w:tc>
        <w:tc>
          <w:tcPr/>
          <w:p>
            <w:pPr>
              <w:pStyle w:val="Compact"/>
              <w:jc w:val="right"/>
            </w:pPr>
            <w:r>
              <w:t xml:space="preserve">61.60</w:t>
            </w:r>
          </w:p>
        </w:tc>
        <w:tc>
          <w:tcPr/>
          <w:p>
            <w:pPr>
              <w:pStyle w:val="Compact"/>
              <w:jc w:val="right"/>
            </w:pPr>
            <w:r>
              <w:t xml:space="preserve">61.60</w:t>
            </w:r>
          </w:p>
        </w:tc>
        <w:tc>
          <w:tcPr/>
          <w:p>
            <w:pPr>
              <w:pStyle w:val="Compact"/>
              <w:jc w:val="right"/>
            </w:pPr>
            <w:r>
              <w:t xml:space="preserve">0.00</w:t>
            </w:r>
          </w:p>
        </w:tc>
      </w:tr>
      <w:tr>
        <w:tc>
          <w:tcPr/>
          <w:p>
            <w:pPr>
              <w:pStyle w:val="Compact"/>
              <w:jc w:val="right"/>
            </w:pPr>
            <w:r>
              <w:t xml:space="preserve">37</w:t>
            </w:r>
          </w:p>
        </w:tc>
        <w:tc>
          <w:tcPr/>
          <w:p>
            <w:pPr>
              <w:pStyle w:val="Compact"/>
              <w:jc w:val="center"/>
            </w:pPr>
            <w:r>
              <w:t xml:space="preserve">3</w:t>
            </w:r>
          </w:p>
        </w:tc>
        <w:tc>
          <w:tcPr/>
          <w:p>
            <w:pPr>
              <w:pStyle w:val="Compact"/>
              <w:jc w:val="right"/>
            </w:pPr>
            <w:r>
              <w:t xml:space="preserve">7.50</w:t>
            </w:r>
          </w:p>
        </w:tc>
        <w:tc>
          <w:tcPr/>
          <w:p>
            <w:pPr>
              <w:pStyle w:val="Compact"/>
              <w:jc w:val="right"/>
            </w:pPr>
            <w:r>
              <w:t xml:space="preserve">264.07</w:t>
            </w:r>
          </w:p>
        </w:tc>
        <w:tc>
          <w:tcPr/>
          <w:p>
            <w:pPr>
              <w:pStyle w:val="Compact"/>
              <w:jc w:val="right"/>
            </w:pPr>
            <w:r>
              <w:t xml:space="preserve">264.04</w:t>
            </w:r>
          </w:p>
        </w:tc>
        <w:tc>
          <w:tcPr/>
          <w:p>
            <w:pPr>
              <w:pStyle w:val="Compact"/>
              <w:jc w:val="right"/>
            </w:pPr>
            <w:r>
              <w:t xml:space="preserve">−0.03</w:t>
            </w:r>
          </w:p>
        </w:tc>
      </w:tr>
    </w:tbl>
    <w:p>
      <w:pPr>
        <w:pStyle w:val="BodyText"/>
      </w:pPr>
      <w:r>
        <w:t xml:space="preserve">All 25 reference points reproduce within ≤ 0.17 mm² (&lt; 0.1 %), confirming that</w:t>
      </w:r>
      <w:r>
        <w:t xml:space="preserve"> </w:t>
      </w:r>
      <w:r>
        <w:rPr>
          <w:b/>
          <w:bCs/>
        </w:rPr>
        <w:t xml:space="preserve">the lateral incisor a₅ is the sole typographical error</w:t>
      </w:r>
      <w:r>
        <w:t xml:space="preserve"> </w:t>
      </w:r>
      <w:r>
        <w:t xml:space="preserve">in the published Table 1.</w:t>
      </w:r>
    </w:p>
    <w:bookmarkEnd w:id="13"/>
    <w:bookmarkStart w:id="14" w:name="clinical-implications"/>
    <w:p>
      <w:pPr>
        <w:pStyle w:val="Heading3"/>
      </w:pPr>
      <w:r>
        <w:t xml:space="preserve">Clinical implications</w:t>
      </w:r>
    </w:p>
    <w:p>
      <w:pPr>
        <w:pStyle w:val="FirstParagraph"/>
      </w:pPr>
      <w:r>
        <w:t xml:space="preserve">The pre-correction polynomial overshoots and saturates around CAL ≈ 4.6 mm for the maxillary lateral incisor, leading to ALSA = total root surface (179 mm²) and RAS = 0 mm² for any patient with attachment loss ≥ 5 mm at these teeth. In clinical practice this is a routine measurement at lateral incisors in periodontitis stage II–IV. We illustrate the impact with an example from our clinical database (Figure 1, this letter): a patient with mean pocket depth 4.0 mm and mean recession 1.0 mm at tooth 12 was assigned ALSA = 179, RAS = 0 by the uncorrected polynomial. The corrected polynomial yields PESA = 67.4, ALSA = 84.5, and RAS = 94.5 mm² — congruent with the clinically observable ~53 % residual healthy attachment.</w:t>
      </w:r>
    </w:p>
    <w:p>
      <w:pPr>
        <w:pStyle w:val="BodyText"/>
      </w:pPr>
      <w:r>
        <w:t xml:space="preserve">For PISA itself (PESA × bleeding fraction), the impact is bounded by pocket depth, which seldom exceeds 7 mm clinically; the printed polynomial gives plausible PESA values up to that range. The error therefore primarily affects ALSA, RAS, and any aggregate periodontal measure derived from attachment loss for the maxillary lateral incisors.</w:t>
      </w:r>
    </w:p>
    <w:p>
      <w:pPr>
        <w:pStyle w:val="BodyText"/>
      </w:pPr>
      <w:r>
        <w:t xml:space="preserve">In a study cohort sufficiently large to include patients with stage II+ periodontitis affecting the lateral incisors, the uncorrected polynomial systematically biases total per-mouth ALSA upward and underestimates remaining attachment, with a localized but per-patient potentially substantial effect.</w:t>
      </w:r>
    </w:p>
    <w:bookmarkEnd w:id="14"/>
    <w:bookmarkStart w:id="18" w:name="recommended-action"/>
    <w:p>
      <w:pPr>
        <w:pStyle w:val="Heading3"/>
      </w:pPr>
      <w:r>
        <w:t xml:space="preserve">Recommended action</w:t>
      </w:r>
    </w:p>
    <w:p>
      <w:pPr>
        <w:pStyle w:val="FirstParagraph"/>
      </w:pPr>
      <w:r>
        <w:t xml:space="preserve">We recommend that the Editorial Office of the</w:t>
      </w:r>
      <w:r>
        <w:t xml:space="preserve"> </w:t>
      </w:r>
      <w:r>
        <w:rPr>
          <w:i/>
          <w:iCs/>
        </w:rPr>
        <w:t xml:space="preserve">Journal of Clinical Periodontology</w:t>
      </w:r>
      <w:r>
        <w:t xml:space="preserve"> </w:t>
      </w:r>
      <w:r>
        <w:t xml:space="preserve">issue an erratum to Nesse et al. (2008) correcting Table 1, row</w:t>
      </w:r>
      <w:r>
        <w:t xml:space="preserve"> </w:t>
      </w:r>
      <w:r>
        <w:t xml:space="preserve">“maxillary lateral incisor”</w:t>
      </w:r>
      <w:r>
        <w:t xml:space="preserve">, column a₅: from</w:t>
      </w:r>
      <w:r>
        <w:t xml:space="preserve"> </w:t>
      </w:r>
      <w:r>
        <w:rPr>
          <w:b/>
          <w:bCs/>
        </w:rPr>
        <w:t xml:space="preserve">0.05890</w:t>
      </w:r>
      <w:r>
        <w:t xml:space="preserve"> </w:t>
      </w:r>
      <w:r>
        <w:t xml:space="preserve">to</w:t>
      </w:r>
      <w:r>
        <w:t xml:space="preserve"> </w:t>
      </w:r>
      <w:r>
        <w:rPr>
          <w:b/>
          <w:bCs/>
        </w:rPr>
        <w:t xml:space="preserve">0.005890</w:t>
      </w:r>
      <w:r>
        <w:t xml:space="preserve">. We further recommend that the official spreadsheet at parsprototo.info — which already encodes the correct value — be cited as the authoritative source pending erratum publication.</w:t>
      </w:r>
    </w:p>
    <w:p>
      <w:pPr>
        <w:pStyle w:val="BodyText"/>
      </w:pPr>
      <w:r>
        <w:t xml:space="preserve">For reproducibility, the verification code, regression test suite, and a dependency-free stand-alone polynomial implementation are openly available (no login required) at:</w:t>
      </w:r>
    </w:p>
    <w:p>
      <w:pPr>
        <w:pStyle w:val="Compact"/>
        <w:numPr>
          <w:ilvl w:val="0"/>
          <w:numId w:val="1001"/>
        </w:numPr>
      </w:pPr>
      <w:r>
        <w:t xml:space="preserve">Repository:</w:t>
      </w:r>
      <w:r>
        <w:t xml:space="preserve"> </w:t>
      </w:r>
      <w:hyperlink r:id="rId15">
        <w:r>
          <w:rPr>
            <w:rStyle w:val="Hyperlink"/>
          </w:rPr>
          <w:t xml:space="preserve">https://github.com/tijlvandenberg/nesse-2008-erratum</w:t>
        </w:r>
      </w:hyperlink>
    </w:p>
    <w:p>
      <w:pPr>
        <w:pStyle w:val="Compact"/>
        <w:numPr>
          <w:ilvl w:val="0"/>
          <w:numId w:val="1001"/>
        </w:numPr>
      </w:pPr>
      <w:r>
        <w:t xml:space="preserve">Regression test:</w:t>
      </w:r>
      <w:r>
        <w:t xml:space="preserve"> </w:t>
      </w:r>
      <w:hyperlink r:id="rId16">
        <w:r>
          <w:rPr>
            <w:rStyle w:val="Hyperlink"/>
          </w:rPr>
          <w:t xml:space="preserve">https://github.com/tijlvandenberg/nesse-2008-erratum/blob/main/verification/test_nesse_coef.py</w:t>
        </w:r>
      </w:hyperlink>
    </w:p>
    <w:p>
      <w:pPr>
        <w:pStyle w:val="Compact"/>
        <w:numPr>
          <w:ilvl w:val="0"/>
          <w:numId w:val="1001"/>
        </w:numPr>
      </w:pPr>
      <w:r>
        <w:t xml:space="preserve">Stand-alone implementation:</w:t>
      </w:r>
      <w:r>
        <w:t xml:space="preserve"> </w:t>
      </w:r>
      <w:hyperlink r:id="rId17">
        <w:r>
          <w:rPr>
            <w:rStyle w:val="Hyperlink"/>
          </w:rPr>
          <w:t xml:space="preserve">https://github.com/tijlvandenberg/nesse-2008-erratum/blob/main/verification/nesse_polynomial.py</w:t>
        </w:r>
      </w:hyperlink>
    </w:p>
    <w:p>
      <w:pPr>
        <w:pStyle w:val="FirstParagraph"/>
      </w:pPr>
      <w:r>
        <w:t xml:space="preserve">A Zenodo DOI for the same materials will be added prior to formal acceptance.</w:t>
      </w:r>
    </w:p>
    <w:bookmarkEnd w:id="18"/>
    <w:bookmarkStart w:id="19" w:name="acknowledgement"/>
    <w:p>
      <w:pPr>
        <w:pStyle w:val="Heading3"/>
      </w:pPr>
      <w:r>
        <w:t xml:space="preserve">Acknowledgement</w:t>
      </w:r>
    </w:p>
    <w:p>
      <w:pPr>
        <w:pStyle w:val="FirstParagraph"/>
      </w:pPr>
      <w:r>
        <w:t xml:space="preserve">We thank the authors of Nesse et al. (2008) for providing the worked example spreadsheets that made this identification possible. The publication of those spreadsheets — alongside the polynomial table — is a textbook example of reproducible scientific reporting and the very reason this discrepancy could be resolved unambiguously.</w:t>
      </w:r>
    </w:p>
    <w:p>
      <w:r>
        <w:pict>
          <v:rect style="width:0;height:1.5pt" o:hralign="center" o:hrstd="t" o:hr="t"/>
        </w:pict>
      </w:r>
    </w:p>
    <w:bookmarkEnd w:id="19"/>
    <w:bookmarkEnd w:id="20"/>
    <w:bookmarkStart w:id="21" w:name="references"/>
    <w:p>
      <w:pPr>
        <w:pStyle w:val="Heading2"/>
      </w:pPr>
      <w:r>
        <w:t xml:space="preserve">References</w:t>
      </w:r>
    </w:p>
    <w:p>
      <w:pPr>
        <w:numPr>
          <w:ilvl w:val="0"/>
          <w:numId w:val="1002"/>
        </w:numPr>
      </w:pPr>
      <w:r>
        <w:t xml:space="preserve">Nesse, W., Abbas, F., van der Ploeg, I., Spijkervet, F. K. L., Dijkstra, P. U., &amp; Vissink, A. (2008). Periodontal inflamed surface area: quantifying inflammatory burden.</w:t>
      </w:r>
      <w:r>
        <w:t xml:space="preserve"> </w:t>
      </w:r>
      <w:r>
        <w:rPr>
          <w:i/>
          <w:iCs/>
        </w:rPr>
        <w:t xml:space="preserve">Journal of Clinical Periodontology</w:t>
      </w:r>
      <w:r>
        <w:t xml:space="preserve">, 35(8), 668–673. https://doi.org/10.1111/j.1600-051X.2008.01249.x</w:t>
      </w:r>
    </w:p>
    <w:p>
      <w:pPr>
        <w:numPr>
          <w:ilvl w:val="0"/>
          <w:numId w:val="1002"/>
        </w:numPr>
      </w:pPr>
      <w:r>
        <w:t xml:space="preserve">Jepsen, A. (1963). The measurement of clinical attachment level in dental research.</w:t>
      </w:r>
      <w:r>
        <w:t xml:space="preserve"> </w:t>
      </w:r>
      <w:r>
        <w:rPr>
          <w:i/>
          <w:iCs/>
        </w:rPr>
        <w:t xml:space="preserve">Acta Odontologica Scandinavica</w:t>
      </w:r>
      <w:r>
        <w:t xml:space="preserve">, 21, 35–41.</w:t>
      </w:r>
    </w:p>
    <w:p>
      <w:pPr>
        <w:numPr>
          <w:ilvl w:val="0"/>
          <w:numId w:val="1002"/>
        </w:numPr>
      </w:pPr>
      <w:r>
        <w:t xml:space="preserve">Hujoel, P. P., White, B. A., García, R. I., &amp; Listgarten, M. A. (2001). The dentogingival epithelial surface area revisited.</w:t>
      </w:r>
      <w:r>
        <w:t xml:space="preserve"> </w:t>
      </w:r>
      <w:r>
        <w:rPr>
          <w:i/>
          <w:iCs/>
        </w:rPr>
        <w:t xml:space="preserve">Journal of Periodontal Research</w:t>
      </w:r>
      <w:r>
        <w:t xml:space="preserve">, 36(1), 48–55. https://doi.org/10.1034/j.1600-0765.2001.00011.x</w:t>
      </w:r>
    </w:p>
    <w:p>
      <w:pPr>
        <w:numPr>
          <w:ilvl w:val="0"/>
          <w:numId w:val="1002"/>
        </w:numPr>
      </w:pPr>
      <w:r>
        <w:t xml:space="preserve">Hujoel, P. P. (1994). A meta-analysis of normal ranges for root surface areas of the permanent dentition.</w:t>
      </w:r>
      <w:r>
        <w:t xml:space="preserve"> </w:t>
      </w:r>
      <w:r>
        <w:rPr>
          <w:i/>
          <w:iCs/>
        </w:rPr>
        <w:t xml:space="preserve">Journal of Clinical Periodontology</w:t>
      </w:r>
      <w:r>
        <w:t xml:space="preserve">, 21(3), 225–229. https://doi.org/10.1111/j.1600-051X.1994.tb00310.x</w:t>
      </w:r>
    </w:p>
    <w:p>
      <w:pPr>
        <w:numPr>
          <w:ilvl w:val="0"/>
          <w:numId w:val="1002"/>
        </w:numPr>
      </w:pPr>
      <w:r>
        <w:t xml:space="preserve">parsprototo.info.</w:t>
      </w:r>
      <w:r>
        <w:t xml:space="preserve"> </w:t>
      </w:r>
      <w:r>
        <w:rPr>
          <w:i/>
          <w:iCs/>
        </w:rPr>
        <w:t xml:space="preserve">PISA spreadsheet</w:t>
      </w:r>
      <w:r>
        <w:t xml:space="preserve"> </w:t>
      </w:r>
      <w:r>
        <w:t xml:space="preserve">[Internet resource]. Available at: https://parsprototo.info/</w:t>
      </w:r>
    </w:p>
    <w:p>
      <w:r>
        <w:pict>
          <v:rect style="width:0;height:1.5pt" o:hralign="center" o:hrstd="t" o:hr="t"/>
        </w:pict>
      </w:r>
    </w:p>
    <w:bookmarkEnd w:id="21"/>
    <w:bookmarkStart w:id="22" w:name="figure-legend"/>
    <w:p>
      <w:pPr>
        <w:pStyle w:val="Heading2"/>
      </w:pPr>
      <w:r>
        <w:t xml:space="preserve">Figure legend</w:t>
      </w:r>
    </w:p>
    <w:p>
      <w:pPr>
        <w:pStyle w:val="FirstParagraph"/>
      </w:pPr>
      <w:r>
        <w:rPr>
          <w:b/>
          <w:bCs/>
        </w:rPr>
        <w:t xml:space="preserve">Figure 1.</w:t>
      </w:r>
      <w:r>
        <w:t xml:space="preserve"> </w:t>
      </w:r>
      <w:r>
        <w:t xml:space="preserve">Polynomial output (ALSA, mm²) as a function of attachment loss (AN, mm) for the maxillary lateral incisor. Solid line: corrected coefficient (a₅ = 0.005890); dashed line: published coefficient (a₅ = 0.05890); horizontal: anatomical total root surface 179 mm² (Jepsen, 1963). The corrected polynomial approaches Total asymptotically within the clinically realistic root-length range (≤ 14 mm), while the printed coefficient saturates at AN ≈ 4.6 mm.</w:t>
      </w:r>
    </w:p>
    <w:p>
      <w:pPr>
        <w:pStyle w:val="BodyText"/>
      </w:pPr>
      <w:r>
        <w:rPr>
          <w:i/>
          <w:iCs/>
        </w:rPr>
        <w:t xml:space="preserve">(plot wordt apart aangeleverd: 1-kolom figuur, 500×400 px, AN-as 0–10 mm)</w:t>
      </w:r>
    </w:p>
    <w:p>
      <w:r>
        <w:pict>
          <v:rect style="width:0;height:1.5pt" o:hralign="center" o:hrstd="t" o:hr="t"/>
        </w:pict>
      </w:r>
    </w:p>
    <w:bookmarkEnd w:id="22"/>
    <w:bookmarkStart w:id="23" w:name="auteursnotitie-intern-niet-in-submission"/>
    <w:p>
      <w:pPr>
        <w:pStyle w:val="Heading2"/>
      </w:pPr>
      <w:r>
        <w:t xml:space="preserve">Auteursnotitie (intern, niet in submission)</w:t>
      </w:r>
    </w:p>
    <w:p>
      <w:pPr>
        <w:pStyle w:val="Compact"/>
        <w:numPr>
          <w:ilvl w:val="0"/>
          <w:numId w:val="1003"/>
        </w:numPr>
      </w:pPr>
      <w:r>
        <w:t xml:space="preserve">Submission target:</w:t>
      </w:r>
      <w:r>
        <w:t xml:space="preserve"> </w:t>
      </w:r>
      <w:r>
        <w:rPr>
          <w:b/>
          <w:bCs/>
        </w:rPr>
        <w:t xml:space="preserve">J Clin Periodontol</w:t>
      </w:r>
      <w:r>
        <w:t xml:space="preserve"> </w:t>
      </w:r>
      <w:r>
        <w:t xml:space="preserve">— Letter to the Editor sectie.</w:t>
      </w:r>
    </w:p>
    <w:p>
      <w:pPr>
        <w:pStyle w:val="Compact"/>
        <w:numPr>
          <w:ilvl w:val="0"/>
          <w:numId w:val="1003"/>
        </w:numPr>
      </w:pPr>
      <w:r>
        <w:t xml:space="preserve">Voor de Editor-mail kort bijvoegen:</w:t>
      </w:r>
      <w:r>
        <w:t xml:space="preserve"> </w:t>
      </w:r>
      <w:r>
        <w:t xml:space="preserve">“we identified a decimal-shift typo in Table 1 (max lat.incis a₅) of the original Nesse 2008 paper, with full reproduction of all 14 tooth types using both the printed and the corrected coefficients. The letter provides direct evidence from the authors’ own example spreadsheets (Fig 2a-c).”</w:t>
      </w:r>
    </w:p>
    <w:p>
      <w:pPr>
        <w:pStyle w:val="Compact"/>
        <w:numPr>
          <w:ilvl w:val="0"/>
          <w:numId w:val="1003"/>
        </w:numPr>
      </w:pPr>
      <w:r>
        <w:t xml:space="preserve">Bij voorkeur</w:t>
      </w:r>
      <w:r>
        <w:t xml:space="preserve"> </w:t>
      </w:r>
      <w:r>
        <w:rPr>
          <w:b/>
          <w:bCs/>
        </w:rPr>
        <w:t xml:space="preserve">co-auteurschap</w:t>
      </w:r>
      <w:r>
        <w:t xml:space="preserve"> </w:t>
      </w:r>
      <w:r>
        <w:t xml:space="preserve">aanbieden aan minstens één van de originele Nesse-auteurs (Nesse zelf indien bereikbaar via parsprototo, of Vissink). Versterkt de credibility en is correct over wie het origineel werk deed.</w:t>
      </w:r>
    </w:p>
    <w:p>
      <w:pPr>
        <w:pStyle w:val="Compact"/>
        <w:numPr>
          <w:ilvl w:val="0"/>
          <w:numId w:val="1003"/>
        </w:numPr>
      </w:pPr>
      <w:r>
        <w:t xml:space="preserve">Voor het figuur: zie de matplotlib-snippet in</w:t>
      </w:r>
      <w:r>
        <w:t xml:space="preserve"> </w:t>
      </w:r>
      <w:r>
        <w:rPr>
          <w:rStyle w:val="VerbatimChar"/>
        </w:rPr>
        <w:t xml:space="preserve">docs/nesse-erratum-figure.py</w:t>
      </w:r>
      <w:r>
        <w:t xml:space="preserve"> </w:t>
      </w:r>
      <w:r>
        <w:t xml:space="preserve">(nog te maken) — twee curves, één met elke a₅, met de Totaal-lijn.</w:t>
      </w:r>
    </w:p>
    <w:p>
      <w:pPr>
        <w:pStyle w:val="Compact"/>
        <w:numPr>
          <w:ilvl w:val="0"/>
          <w:numId w:val="1003"/>
        </w:numPr>
      </w:pPr>
      <w:r>
        <w:t xml:space="preserve">Suppl materials:</w:t>
      </w:r>
      <w:r>
        <w:t xml:space="preserve"> </w:t>
      </w:r>
      <w:r>
        <w:rPr>
          <w:rStyle w:val="VerbatimChar"/>
        </w:rPr>
        <w:t xml:space="preserve">tests/test_nesse_coef.py</w:t>
      </w:r>
      <w:r>
        <w:t xml:space="preserve"> </w:t>
      </w:r>
      <w:r>
        <w:t xml:space="preserve">is publiek genoeg om als reproducibility-data te dienen.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github.com/tijlvandenberg/nesse-2008-erratum" TargetMode="External" /><Relationship Type="http://schemas.openxmlformats.org/officeDocument/2006/relationships/hyperlink" Id="rId17" Target="https://github.com/tijlvandenberg/nesse-2008-erratum/blob/main/verification/nesse_polynomial.py" TargetMode="External" /><Relationship Type="http://schemas.openxmlformats.org/officeDocument/2006/relationships/hyperlink" Id="rId16" Target="https://github.com/tijlvandenberg/nesse-2008-erratum/blob/main/verification/test_nesse_coef.py"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tijlvandenberg/nesse-2008-erratum" TargetMode="External" /><Relationship Type="http://schemas.openxmlformats.org/officeDocument/2006/relationships/hyperlink" Id="rId17" Target="https://github.com/tijlvandenberg/nesse-2008-erratum/blob/main/verification/nesse_polynomial.py" TargetMode="External" /><Relationship Type="http://schemas.openxmlformats.org/officeDocument/2006/relationships/hyperlink" Id="rId16" Target="https://github.com/tijlvandenberg/nesse-2008-erratum/blob/main/verification/test_nesse_coef.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2026-06-22T21:29:45Z</dcterms:created>
  <dcterms:modified xsi:type="dcterms:W3CDTF">2026-06-22T21:29:45Z</dcterms:modified>
</cp:coreProperties>
</file>

<file path=docProps/custom.xml><?xml version="1.0" encoding="utf-8"?>
<Properties xmlns="http://schemas.openxmlformats.org/officeDocument/2006/custom-properties" xmlns:vt="http://schemas.openxmlformats.org/officeDocument/2006/docPropsVTypes"/>
</file>