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38373f169774688403e8f849ce539fd6f5b0341"/>
    <w:p>
      <w:pPr>
        <w:pStyle w:val="Heading1"/>
      </w:pPr>
      <w:r>
        <w:t xml:space="preserve">Letter to the Editor — STRIKTE 400-WOORD VERSIE</w:t>
      </w:r>
    </w:p>
    <w:p>
      <w:pPr>
        <w:pStyle w:val="FirstParagraph"/>
      </w:pPr>
      <w:r>
        <w:rPr>
          <w:i/>
          <w:iCs/>
        </w:rPr>
        <w:t xml:space="preserve">Voor de Letter to the Editor categorie van J Clin Periodontol.</w:t>
      </w:r>
      <w:r>
        <w:rPr>
          <w:i/>
          <w:iCs/>
        </w:rPr>
        <w:t xml:space="preserve"> </w:t>
      </w:r>
      <w:r>
        <w:rPr>
          <w:i/>
          <w:iCs/>
        </w:rPr>
        <w:t xml:space="preserve">Strikt 400 woorden tekst + max 5 refs + 1 figuur. Geen tabellen.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 decimal-shift typographical error in Table 1 of Nesse et al.</w:t>
      </w:r>
      <w:r>
        <w:t xml:space="preserve"> </w:t>
      </w:r>
      <w:r>
        <w:t xml:space="preserve">(2008): the maxillary lateral incisor</w:t>
      </w:r>
      <w:r>
        <w:t xml:space="preserve"> </w:t>
      </w:r>
      <w:r>
        <w:rPr>
          <w:i/>
          <w:iCs/>
        </w:rPr>
        <w:t xml:space="preserve">a</w:t>
      </w:r>
      <w:r>
        <w:t xml:space="preserve">₅ coefficient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T.H. van den Berg¹</w:t>
      </w:r>
      <w:r>
        <w:t xml:space="preserve"> </w:t>
      </w:r>
      <w:r>
        <w:rPr>
          <w:i/>
          <w:iCs/>
        </w:rPr>
        <w:t xml:space="preserve">[+ max 2 co-authors]</w:t>
      </w:r>
      <w:r>
        <w:t xml:space="preserve"> </w:t>
      </w:r>
      <w:r>
        <w:t xml:space="preserve">¹ Practice for Periodontology Haarlem, The Netherlands</w:t>
      </w:r>
    </w:p>
    <w:p>
      <w:pPr>
        <w:pStyle w:val="BodyText"/>
      </w:pPr>
      <w:r>
        <w:rPr>
          <w:b/>
          <w:bCs/>
        </w:rPr>
        <w:t xml:space="preserve">Correspondence:</w:t>
      </w:r>
      <w:r>
        <w:t xml:space="preserve"> </w:t>
      </w:r>
      <w:r>
        <w:t xml:space="preserve">T.H. van den Berg,</w:t>
      </w:r>
      <w:r>
        <w:t xml:space="preserve"> </w:t>
      </w:r>
      <w:r>
        <w:rPr>
          <w:i/>
          <w:iCs/>
        </w:rPr>
        <w:t xml:space="preserve">[email] · ORCID</w:t>
      </w:r>
    </w:p>
    <w:p>
      <w:pPr>
        <w:pStyle w:val="BodyText"/>
      </w:pPr>
      <w:r>
        <w:rPr>
          <w:b/>
          <w:bCs/>
        </w:rPr>
        <w:t xml:space="preserve">Conflict of interest:</w:t>
      </w:r>
      <w:r>
        <w:t xml:space="preserve"> </w:t>
      </w:r>
      <w:r>
        <w:t xml:space="preserve">None declared.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The PISA framework by Nesse et al. (2008) uses a per-tooth-type 6th-degree</w:t>
      </w:r>
      <w:r>
        <w:t xml:space="preserve"> </w:t>
      </w:r>
      <w:r>
        <w:t xml:space="preserve">polynomial to convert probing measurements to root-surface areas.</w:t>
      </w:r>
      <w:r>
        <w:t xml:space="preserve"> </w:t>
      </w:r>
      <w:r>
        <w:t xml:space="preserve">Implementing this framework clinically, we observed that for one specific</w:t>
      </w:r>
      <w:r>
        <w:t xml:space="preserve"> </w:t>
      </w:r>
      <w:r>
        <w:t xml:space="preserve">tooth — the maxillary lateral incisor (FDI 12/22) — the polynomial</w:t>
      </w:r>
      <w:r>
        <w:t xml:space="preserve"> </w:t>
      </w:r>
      <w:r>
        <w:t xml:space="preserve">overshoots the anatomical total root surface (Jepsen, 1963) at attachment</w:t>
      </w:r>
      <w:r>
        <w:t xml:space="preserve"> </w:t>
      </w:r>
      <w:r>
        <w:t xml:space="preserve">levels as low as ≈4.6 mm. After clamping, this forces remaining</w:t>
      </w:r>
      <w:r>
        <w:t xml:space="preserve"> </w:t>
      </w:r>
      <w:r>
        <w:t xml:space="preserve">attachment surface (RAS = Total − ALSA) to zero in any patient with</w:t>
      </w:r>
      <w:r>
        <w:t xml:space="preserve"> </w:t>
      </w:r>
      <w:r>
        <w:t xml:space="preserve">moderate periodontitis, which is clinically implausible. No other tooth</w:t>
      </w:r>
      <w:r>
        <w:t xml:space="preserve"> </w:t>
      </w:r>
      <w:r>
        <w:t xml:space="preserve">type shows this behaviour within the clinical range (1–8 mm).</w:t>
      </w:r>
    </w:p>
    <w:p>
      <w:pPr>
        <w:pStyle w:val="BodyText"/>
      </w:pPr>
      <w:r>
        <w:t xml:space="preserve">Inspection of Table 1 in the original paper revealed that the</w:t>
      </w:r>
      <w:r>
        <w:t xml:space="preserve"> </w:t>
      </w:r>
      <w:r>
        <w:rPr>
          <w:i/>
          <w:iCs/>
        </w:rPr>
        <w:t xml:space="preserve">a</w:t>
      </w:r>
      <w:r>
        <w:t xml:space="preserve">₅</w:t>
      </w:r>
      <w:r>
        <w:t xml:space="preserve"> </w:t>
      </w:r>
      <w:r>
        <w:t xml:space="preserve">coefficient for the maxillary lateral incisor (0.05890) is one order of</w:t>
      </w:r>
      <w:r>
        <w:t xml:space="preserve"> </w:t>
      </w:r>
      <w:r>
        <w:t xml:space="preserve">magnitude larger than for either centrally adjacent anterior tooth</w:t>
      </w:r>
      <w:r>
        <w:t xml:space="preserve"> </w:t>
      </w:r>
      <w:r>
        <w:t xml:space="preserve">(central incisor 0.01126; canine 0.00021). The positive</w:t>
      </w:r>
      <w:r>
        <w:t xml:space="preserve"> </w:t>
      </w:r>
      <w:r>
        <w:rPr>
          <w:i/>
          <w:iCs/>
        </w:rPr>
        <w:t xml:space="preserve">a</w:t>
      </w:r>
      <w:r>
        <w:t xml:space="preserve">₅ term drives</w:t>
      </w:r>
      <w:r>
        <w:t xml:space="preserve"> </w:t>
      </w:r>
      <w:r>
        <w:t xml:space="preserve">explosive x⁵ growth, explaining the saturation at moderate AN.</w:t>
      </w:r>
    </w:p>
    <w:p>
      <w:pPr>
        <w:pStyle w:val="BodyText"/>
      </w:pPr>
      <w:r>
        <w:t xml:space="preserve">To distinguish a transcription artefact from a typographical error in</w:t>
      </w:r>
      <w:r>
        <w:t xml:space="preserve"> </w:t>
      </w:r>
      <w:r>
        <w:t xml:space="preserve">the printed table, we cross-validated against the worked example</w:t>
      </w:r>
      <w:r>
        <w:t xml:space="preserve"> </w:t>
      </w:r>
      <w:r>
        <w:t xml:space="preserve">spreadsheets the original paper itself provides (Figure 2a–c). In Figure</w:t>
      </w:r>
      <w:r>
        <w:t xml:space="preserve"> </w:t>
      </w:r>
      <w:r>
        <w:t xml:space="preserve">2a, tooth 12 at mean CAL=2 mm shows ALSA = 34.04 mm². Evaluating the</w:t>
      </w:r>
      <w:r>
        <w:t xml:space="preserve"> </w:t>
      </w:r>
      <w:r>
        <w:t xml:space="preserve">polynomial with the printed</w:t>
      </w:r>
      <w:r>
        <w:t xml:space="preserve"> </w:t>
      </w:r>
      <w:r>
        <w:rPr>
          <w:i/>
          <w:iCs/>
        </w:rPr>
        <w:t xml:space="preserve">a</w:t>
      </w:r>
      <w:r>
        <w:t xml:space="preserve">₅ (0.05890) gives 35.74 mm² — off by 5%.</w:t>
      </w:r>
      <w:r>
        <w:t xml:space="preserve"> </w:t>
      </w:r>
      <w:r>
        <w:t xml:space="preserve">Evaluating with</w:t>
      </w:r>
      <w:r>
        <w:t xml:space="preserve"> </w:t>
      </w:r>
      <w:r>
        <w:rPr>
          <w:i/>
          <w:iCs/>
        </w:rPr>
        <w:t xml:space="preserve">a</w:t>
      </w:r>
      <w:r>
        <w:t xml:space="preserve">₅ shifted one decimal place (0.005890) gives 34.05</w:t>
      </w:r>
      <w:r>
        <w:t xml:space="preserve"> </w:t>
      </w:r>
      <w:r>
        <w:t xml:space="preserve">mm² — matching 34.04 within 0.03%. The corrected coefficient was further</w:t>
      </w:r>
      <w:r>
        <w:t xml:space="preserve"> </w:t>
      </w:r>
      <w:r>
        <w:t xml:space="preserve">validated against Patient 3 tooth 12 (ALSA = 56.11, back-solved</w:t>
      </w:r>
      <w:r>
        <w:t xml:space="preserve"> </w:t>
      </w:r>
      <w:r>
        <w:t xml:space="preserve">CAL = 3.33), and systematically across all 14 tooth types and 25 anchored</w:t>
      </w:r>
      <w:r>
        <w:t xml:space="preserve"> </w:t>
      </w:r>
      <w:r>
        <w:t xml:space="preserve">reference points from Figure 2a–c, reproducing every value within ≤ 0.17</w:t>
      </w:r>
      <w:r>
        <w:t xml:space="preserve"> </w:t>
      </w:r>
      <w:r>
        <w:t xml:space="preserve">mm² (&lt; 0.1 %). The supplementary spreadsheet at parsprototo.info</w:t>
      </w:r>
      <w:r>
        <w:t xml:space="preserve"> </w:t>
      </w:r>
      <w:r>
        <w:t xml:space="preserve">implicitly encodes the corrected value.</w:t>
      </w:r>
    </w:p>
    <w:p>
      <w:pPr>
        <w:pStyle w:val="BodyText"/>
      </w:pPr>
      <w:r>
        <w:t xml:space="preserve">We therefore identify the printed 0.05890 as a decimal-shift typographical</w:t>
      </w:r>
      <w:r>
        <w:t xml:space="preserve"> </w:t>
      </w:r>
      <w:r>
        <w:t xml:space="preserve">error and recommend the Editorial Office consider a corrigendum: Table 1,</w:t>
      </w:r>
      <w:r>
        <w:t xml:space="preserve"> </w:t>
      </w:r>
      <w:r>
        <w:t xml:space="preserve">maxillary lateral incisor,</w:t>
      </w:r>
      <w:r>
        <w:t xml:space="preserve"> </w:t>
      </w:r>
      <w:r>
        <w:rPr>
          <w:i/>
          <w:iCs/>
        </w:rPr>
        <w:t xml:space="preserve">a</w:t>
      </w:r>
      <w:r>
        <w:t xml:space="preserve">₅ should read</w:t>
      </w:r>
      <w:r>
        <w:t xml:space="preserve"> </w:t>
      </w:r>
      <w:r>
        <w:rPr>
          <w:b/>
          <w:bCs/>
        </w:rPr>
        <w:t xml:space="preserve">0.005890</w:t>
      </w:r>
      <w:r>
        <w:t xml:space="preserve">.</w:t>
      </w:r>
    </w:p>
    <w:p>
      <w:pPr>
        <w:pStyle w:val="BodyText"/>
      </w:pPr>
      <w:r>
        <w:t xml:space="preserve">A reproducibility suite (MIT-licensed) and the verification figure are</w:t>
      </w:r>
      <w:r>
        <w:t xml:space="preserve"> </w:t>
      </w:r>
      <w:r>
        <w:t xml:space="preserve">available at</w:t>
      </w:r>
      <w:r>
        <w:t xml:space="preserve"> </w:t>
      </w:r>
      <w:r>
        <w:rPr>
          <w:i/>
          <w:iCs/>
        </w:rPr>
        <w:t xml:space="preserve">[Zenodo DOI placeholder]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[~340 words; ruimte voor lichte aanpassing]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Polynomial output (ALSA, mm²) versus AN (mm) for the</w:t>
      </w:r>
      <w:r>
        <w:t xml:space="preserve"> </w:t>
      </w:r>
      <w:r>
        <w:t xml:space="preserve">maxillary lateral incisor. Dashed: printed</w:t>
      </w:r>
      <w:r>
        <w:t xml:space="preserve"> </w:t>
      </w:r>
      <w:r>
        <w:rPr>
          <w:i/>
          <w:iCs/>
        </w:rPr>
        <w:t xml:space="preserve">a</w:t>
      </w:r>
      <w:r>
        <w:t xml:space="preserve">₅; solid: corrected</w:t>
      </w:r>
      <w:r>
        <w:t xml:space="preserve"> </w:t>
      </w:r>
      <w:r>
        <w:rPr>
          <w:i/>
          <w:iCs/>
        </w:rPr>
        <w:t xml:space="preserve">a</w:t>
      </w:r>
      <w:r>
        <w:t xml:space="preserve">₅;</w:t>
      </w:r>
      <w:r>
        <w:t xml:space="preserve"> </w:t>
      </w:r>
      <w:r>
        <w:t xml:space="preserve">dotted: anatomical total root surface (Jepsen 1963).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References (max 5):</w:t>
      </w:r>
    </w:p>
    <w:p>
      <w:pPr>
        <w:numPr>
          <w:ilvl w:val="0"/>
          <w:numId w:val="1001"/>
        </w:numPr>
      </w:pPr>
      <w:r>
        <w:t xml:space="preserve">Nesse W, Abbas F, van der Ploeg I, Spijkervet FKL, Dijkstra PU, Vissink A.</w:t>
      </w:r>
      <w:r>
        <w:t xml:space="preserve"> </w:t>
      </w:r>
      <w:r>
        <w:t xml:space="preserve">Periodontal inflamed surface area: quantifying inflammatory burden.</w:t>
      </w:r>
      <w:r>
        <w:t xml:space="preserve"> </w:t>
      </w:r>
      <w:r>
        <w:rPr>
          <w:i/>
          <w:iCs/>
        </w:rPr>
        <w:t xml:space="preserve">J Clin Periodontol</w:t>
      </w:r>
      <w:r>
        <w:t xml:space="preserve"> </w:t>
      </w:r>
      <w:r>
        <w:t xml:space="preserve">2008;35:668–673. doi:10.1111/j.1600-051X.2008.01249.x</w:t>
      </w:r>
    </w:p>
    <w:p>
      <w:pPr>
        <w:numPr>
          <w:ilvl w:val="0"/>
          <w:numId w:val="1001"/>
        </w:numPr>
      </w:pPr>
      <w:r>
        <w:t xml:space="preserve">Jepsen A. The measurement of clinical attachment level in dental research.</w:t>
      </w:r>
      <w:r>
        <w:t xml:space="preserve"> </w:t>
      </w:r>
      <w:r>
        <w:rPr>
          <w:i/>
          <w:iCs/>
        </w:rPr>
        <w:t xml:space="preserve">Acta Odontol Scand</w:t>
      </w:r>
      <w:r>
        <w:t xml:space="preserve"> </w:t>
      </w:r>
      <w:r>
        <w:t xml:space="preserve">1963;21:35–41.</w:t>
      </w:r>
    </w:p>
    <w:p>
      <w:pPr>
        <w:numPr>
          <w:ilvl w:val="0"/>
          <w:numId w:val="1001"/>
        </w:numPr>
      </w:pPr>
      <w:r>
        <w:t xml:space="preserve">Hujoel PP, White BA, García RI, Listgarten MA. The dentogingival epithelial</w:t>
      </w:r>
      <w:r>
        <w:t xml:space="preserve"> </w:t>
      </w:r>
      <w:r>
        <w:t xml:space="preserve">surface area revisited.</w:t>
      </w:r>
      <w:r>
        <w:t xml:space="preserve"> </w:t>
      </w:r>
      <w:r>
        <w:rPr>
          <w:i/>
          <w:iCs/>
        </w:rPr>
        <w:t xml:space="preserve">J Periodontal Res</w:t>
      </w:r>
      <w:r>
        <w:t xml:space="preserve"> </w:t>
      </w:r>
      <w:r>
        <w:t xml:space="preserve">2001;36:48–55.</w:t>
      </w:r>
      <w:r>
        <w:t xml:space="preserve"> </w:t>
      </w:r>
      <w:r>
        <w:t xml:space="preserve">doi:10.1034/j.1600-0765.2001.00011.x</w:t>
      </w:r>
    </w:p>
    <w:p>
      <w:pPr>
        <w:numPr>
          <w:ilvl w:val="0"/>
          <w:numId w:val="1001"/>
        </w:numPr>
      </w:pPr>
      <w:r>
        <w:t xml:space="preserve">parsprototo.info. PISA spreadsheet [Internet]. Available at:</w:t>
      </w:r>
      <w:r>
        <w:t xml:space="preserve"> </w:t>
      </w:r>
      <w:r>
        <w:t xml:space="preserve">https://parsprototo.info/ (accessed 22 June 2026).</w:t>
      </w:r>
    </w:p>
    <w:p>
      <w:pPr>
        <w:numPr>
          <w:ilvl w:val="0"/>
          <w:numId w:val="1001"/>
        </w:numPr>
      </w:pPr>
      <w:r>
        <w:t xml:space="preserve">van den Berg TH. Perioscope — verification suite for the Nesse 2008 PISA</w:t>
      </w:r>
      <w:r>
        <w:t xml:space="preserve"> </w:t>
      </w:r>
      <w:r>
        <w:t xml:space="preserve">polynomial coefficients.</w:t>
      </w:r>
      <w:r>
        <w:t xml:space="preserve"> </w:t>
      </w:r>
      <w:r>
        <w:rPr>
          <w:i/>
          <w:iCs/>
        </w:rPr>
        <w:t xml:space="preserve">Zenodo</w:t>
      </w:r>
      <w:r>
        <w:t xml:space="preserve"> </w:t>
      </w:r>
      <w:r>
        <w:t xml:space="preserve">2026; doi:10.5281/zenodo.NNNNNNNN</w:t>
      </w:r>
    </w:p>
    <w:p>
      <w:r>
        <w:pict>
          <v:rect style="width:0;height:1.5pt" o:hralign="center" o:hrstd="t" o:hr="t"/>
        </w:pict>
      </w:r>
    </w:p>
    <w:bookmarkStart w:id="9" w:name="notitie-voor-schrijver"/>
    <w:p>
      <w:pPr>
        <w:pStyle w:val="Heading2"/>
      </w:pPr>
      <w:r>
        <w:t xml:space="preserve">Notitie voor schrijver</w:t>
      </w:r>
    </w:p>
    <w:p>
      <w:pPr>
        <w:pStyle w:val="Compact"/>
        <w:numPr>
          <w:ilvl w:val="0"/>
          <w:numId w:val="1002"/>
        </w:numPr>
      </w:pPr>
      <w:r>
        <w:t xml:space="preserve">Word-count is gecheckt: ~340 woorden in de letter-body, ruimte voor</w:t>
      </w:r>
      <w:r>
        <w:t xml:space="preserve"> </w:t>
      </w:r>
      <w:r>
        <w:t xml:space="preserve">fine-tuning.</w:t>
      </w:r>
    </w:p>
    <w:p>
      <w:pPr>
        <w:pStyle w:val="Compact"/>
        <w:numPr>
          <w:ilvl w:val="0"/>
          <w:numId w:val="1002"/>
        </w:numPr>
      </w:pPr>
      <w:r>
        <w:t xml:space="preserve">Geen subkopjes mogen — alles is één lopende paragrafenstroom.</w:t>
      </w:r>
    </w:p>
    <w:p>
      <w:pPr>
        <w:pStyle w:val="Compact"/>
        <w:numPr>
          <w:ilvl w:val="0"/>
          <w:numId w:val="1002"/>
        </w:numPr>
      </w:pPr>
      <w:r>
        <w:t xml:space="preserve">Eén figuur is veilig binnen de 5-ref/3-auteur regel; geen tabellen.</w:t>
      </w:r>
    </w:p>
    <w:p>
      <w:pPr>
        <w:pStyle w:val="Compact"/>
        <w:numPr>
          <w:ilvl w:val="0"/>
          <w:numId w:val="1002"/>
        </w:numPr>
      </w:pPr>
      <w:r>
        <w:t xml:space="preserve">Volledig bewijs zit in:</w:t>
      </w:r>
    </w:p>
    <w:p>
      <w:pPr>
        <w:pStyle w:val="Compact"/>
        <w:numPr>
          <w:ilvl w:val="1"/>
          <w:numId w:val="1003"/>
        </w:numPr>
      </w:pPr>
      <w:r>
        <w:t xml:space="preserve">de zin</w:t>
      </w:r>
      <w:r>
        <w:t xml:space="preserve"> </w:t>
      </w:r>
      <w:r>
        <w:t xml:space="preserve">“match within 0.03 %”</w:t>
      </w:r>
    </w:p>
    <w:p>
      <w:pPr>
        <w:pStyle w:val="Compact"/>
        <w:numPr>
          <w:ilvl w:val="1"/>
          <w:numId w:val="1003"/>
        </w:numPr>
      </w:pPr>
      <w:r>
        <w:t xml:space="preserve">de verwijzing naar systematische validatie 14 tandtypen, 25 punten</w:t>
      </w:r>
    </w:p>
    <w:p>
      <w:pPr>
        <w:pStyle w:val="Compact"/>
        <w:numPr>
          <w:ilvl w:val="1"/>
          <w:numId w:val="1003"/>
        </w:numPr>
      </w:pPr>
      <w:r>
        <w:t xml:space="preserve">Figuur 1</w:t>
      </w:r>
      <w:r>
        <w:t xml:space="preserve"> </w:t>
      </w:r>
      <w:r>
        <w:t xml:space="preserve">Dat is voldoende voor de Editor om door te zetten naar de Nesse-team</w:t>
      </w:r>
      <w:r>
        <w:t xml:space="preserve"> </w:t>
      </w:r>
      <w:r>
        <w:t xml:space="preserve">voor formele corrigenda-verificatie.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2026-06-22T21:29:45Z</dcterms:created>
  <dcterms:modified xsi:type="dcterms:W3CDTF">2026-06-22T21:29:45Z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