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What are SME's knowledge gaps regarding AI in the sector of Waterkracht?</w:t>
      </w:r>
    </w:p>
    <w:p>
      <w:pPr>
        <w:pStyle w:val="Subtitle"/>
      </w:pPr>
      <w:r>
        <w:t>AI handbook page  ·  Dutch technical SMEs</w:t>
      </w:r>
    </w:p>
    <w:p>
      <w:pPr>
        <w:pStyle w:val="DraftBanner"/>
      </w:pPr>
      <w:r>
        <w:t>DRAFT – awaiting researcher review. Not approved for publication: a researcher must check every claim against its source first.</w:t>
      </w:r>
    </w:p>
    <w:tbl>
      <w:tblPr>
        <w:tblStyle w:val="TableGrid"/>
        <w:tblW w:type="auto" w:w="0"/>
        <w:tblLook w:firstColumn="1" w:firstRow="1" w:lastColumn="0" w:lastRow="0" w:noHBand="0" w:noVBand="1" w:val="04A0"/>
        <w:tblLayout w:type="fixed"/>
        <w:tblCellMar>
          <w:top w:w="45" w:type="dxa"/>
          <w:bottom w:w="45" w:type="dxa"/>
          <w:left w:w="90" w:type="dxa"/>
          <w:right w:w="90" w:type="dxa"/>
        </w:tblCellMar>
        <w:tblLayout w:type="fixed"/>
      </w:tblPr>
      <w:tblGrid>
        <w:gridCol w:w="2551"/>
        <w:gridCol w:w="6747"/>
      </w:tblGrid>
      <w:tr>
        <w:tc>
          <w:tcPr>
            <w:tcW w:type="dxa" w:w="2551"/>
            <w:shd w:val="clear" w:color="auto" w:fill="EEF3F5"/>
          </w:tcPr>
          <w:p>
            <w:pPr>
              <w:pStyle w:val="TableText"/>
            </w:pPr>
            <w:r>
              <w:rPr>
                <w:b/>
              </w:rPr>
            </w:r>
            <w:r>
              <w:rPr>
                <w:b/>
              </w:rPr>
              <w:t>Status</w:t>
            </w:r>
          </w:p>
        </w:tc>
        <w:tc>
          <w:tcPr>
            <w:tcW w:type="dxa" w:w="6746"/>
          </w:tcPr>
          <w:p>
            <w:pPr>
              <w:pStyle w:val="TableText"/>
            </w:pPr>
            <w:r/>
            <w:r>
              <w:t>DRAFT</w:t>
            </w:r>
          </w:p>
        </w:tc>
      </w:tr>
      <w:tr>
        <w:tc>
          <w:tcPr>
            <w:tcW w:type="dxa" w:w="2551"/>
            <w:shd w:val="clear" w:color="auto" w:fill="EEF3F5"/>
          </w:tcPr>
          <w:p>
            <w:pPr>
              <w:pStyle w:val="TableText"/>
            </w:pPr>
            <w:r>
              <w:rPr>
                <w:b/>
              </w:rPr>
            </w:r>
            <w:r>
              <w:rPr>
                <w:b/>
              </w:rPr>
              <w:t>Generated</w:t>
            </w:r>
          </w:p>
        </w:tc>
        <w:tc>
          <w:tcPr>
            <w:tcW w:type="dxa" w:w="6746"/>
          </w:tcPr>
          <w:p>
            <w:pPr>
              <w:pStyle w:val="TableText"/>
            </w:pPr>
            <w:r/>
            <w:r>
              <w:t>2026-10-07T15:52:15</w:t>
            </w:r>
          </w:p>
        </w:tc>
      </w:tr>
      <w:tr>
        <w:tc>
          <w:tcPr>
            <w:tcW w:type="dxa" w:w="2551"/>
            <w:shd w:val="clear" w:color="auto" w:fill="EEF3F5"/>
          </w:tcPr>
          <w:p>
            <w:pPr>
              <w:pStyle w:val="TableText"/>
            </w:pPr>
            <w:r>
              <w:rPr>
                <w:b/>
              </w:rPr>
            </w:r>
            <w:r>
              <w:rPr>
                <w:b/>
              </w:rPr>
              <w:t>Sources</w:t>
            </w:r>
          </w:p>
        </w:tc>
        <w:tc>
          <w:tcPr>
            <w:tcW w:type="dxa" w:w="6746"/>
          </w:tcPr>
          <w:p>
            <w:pPr>
              <w:pStyle w:val="TableText"/>
            </w:pPr>
            <w:r/>
            <w:r>
              <w:t>5 (4 article, 1 pdf)</w:t>
            </w:r>
          </w:p>
        </w:tc>
      </w:tr>
      <w:tr>
        <w:tc>
          <w:tcPr>
            <w:tcW w:type="dxa" w:w="2551"/>
            <w:shd w:val="clear" w:color="auto" w:fill="EEF3F5"/>
          </w:tcPr>
          <w:p>
            <w:pPr>
              <w:pStyle w:val="TableText"/>
            </w:pPr>
            <w:r>
              <w:rPr>
                <w:b/>
              </w:rPr>
            </w:r>
            <w:r>
              <w:rPr>
                <w:b/>
              </w:rPr>
              <w:t>Overall confidence</w:t>
            </w:r>
          </w:p>
        </w:tc>
        <w:tc>
          <w:tcPr>
            <w:tcW w:type="dxa" w:w="6746"/>
          </w:tcPr>
          <w:p>
            <w:pPr>
              <w:pStyle w:val="TableText"/>
            </w:pPr>
            <w:r/>
            <w:r>
              <w:t>MEDIUM (average AAOCC 3.7/5)</w:t>
            </w:r>
          </w:p>
        </w:tc>
      </w:tr>
      <w:tr>
        <w:tc>
          <w:tcPr>
            <w:tcW w:type="dxa" w:w="2551"/>
            <w:shd w:val="clear" w:color="auto" w:fill="EEF3F5"/>
          </w:tcPr>
          <w:p>
            <w:pPr>
              <w:pStyle w:val="TableText"/>
            </w:pPr>
            <w:r>
              <w:rPr>
                <w:b/>
              </w:rPr>
            </w:r>
            <w:r>
              <w:rPr>
                <w:b/>
              </w:rPr>
              <w:t>Automated quality check</w:t>
            </w:r>
          </w:p>
        </w:tc>
        <w:tc>
          <w:tcPr>
            <w:tcW w:type="dxa" w:w="6746"/>
          </w:tcPr>
          <w:p>
            <w:pPr>
              <w:pStyle w:val="TableText"/>
            </w:pPr>
            <w:r/>
            <w:r>
              <w:t>NEEDS REWORK</w:t>
            </w:r>
          </w:p>
        </w:tc>
      </w:tr>
    </w:tbl>
    <w:p>
      <w:pPr>
        <w:pStyle w:val="Meta"/>
      </w:pPr>
    </w:p>
    <w:p>
      <w:pPr>
        <w:pStyle w:val="Heading1"/>
      </w:pPr>
      <w:r>
        <w:t>Research question</w:t>
      </w:r>
    </w:p>
    <w:p>
      <w:pPr/>
      <w:r>
        <w:t>What are SME's knowledge gaps regarding AI in the sector of Waterkracht?</w:t>
      </w:r>
    </w:p>
    <w:p>
      <w:pPr>
        <w:pStyle w:val="Heading1"/>
      </w:pPr>
      <w:r>
        <w:t>Business relevance</w:t>
      </w:r>
    </w:p>
    <w:p>
      <w:pPr/>
      <w:r>
        <w:t>Waterkracht B.V. designs, assembles, sells and services industrial equipment. Across Europe and the Netherlands, SMEs in comparable technical and manufacturing sectors are adopting AI more slowly than larger firms. Understanding exactly which knowledge gaps hold back adoption helps Waterkracht decide where to invest first: training, data cleanup, or external advice. No source reviewed names Waterkracht, hydropower, or water-technology equipment specifically. All findings below come from general SME, manufacturing, or Dutch-economy research and must be treated as indicative, not sector-confirmed.</w:t>
      </w:r>
    </w:p>
    <w:p>
      <w:pPr>
        <w:pStyle w:val="Heading1"/>
      </w:pPr>
      <w:r>
        <w:t>Key findings</w:t>
      </w:r>
    </w:p>
    <w:p>
      <w:pPr>
        <w:pStyle w:val="ListBullet"/>
      </w:pPr>
      <w:r>
        <w:rPr>
          <w:b/>
        </w:rPr>
        <w:t>Dutch AI adoption is still low for small firms.</w:t>
      </w:r>
      <w:r>
        <w:t xml:space="preserve"> Among Dutch microbusinesses (2-9 employees), AI use rose from 6.8% (2023) to 13.8% (2025). Adoption grows with firm size: 11.6% at 2 employees up to 19.0% at 5-9 employees, and 29.8% for firms with 10-249 employees. Construction (4.6%) and hospitality (4.2%) show low adoption; no figure is given for industrial equipment manufacturing or water technology (CBS, 2026).</w:t>
      </w:r>
    </w:p>
    <w:p>
      <w:pPr>
        <w:pStyle w:val="ListBullet"/>
      </w:pPr>
      <w:r>
        <w:rPr>
          <w:b/>
        </w:rPr>
        <w:t>Three recurring adoption barriers in manufacturing SMEs.</w:t>
      </w:r>
      <w:r>
        <w:t xml:space="preserve"> A German study of manufacturing SMEs (mechanical engineering, metal, plastics, electronics, automotive parts - not hydropower) found three dominant gaps: lack of in-house AI expertise or resources (72% of respondents), incompatibility of AI with existing systems/software (54%), and poor availability or quality of data (53%) (Knoblach et al., 2025). These are general manufacturing findings, not Dutch or water-sector specific, but the three categories - people, IT systems, data - are a useful checklist for any SME, including Waterkracht.</w:t>
      </w:r>
    </w:p>
    <w:p>
      <w:pPr>
        <w:pStyle w:val="ListBullet"/>
      </w:pPr>
      <w:r>
        <w:rPr>
          <w:b/>
        </w:rPr>
        <w:t>Dutch policy research confirms the same pattern.</w:t>
      </w:r>
      <w:r>
        <w:t xml:space="preserve"> A Dutch Ministry of Economic Affairs-commissioned study found "lack of knowledge and skills" (gebrek aan kennis en vaardigheden) is a key barrier to AI adoption in Dutch SMEs, alongside limited digitalization, cost, and fear of job loss. Technical sectors (technische sectoren) and small firms lag due to lack of time, resources, or expertise. SMEs often lack insight into what AI can concretely offer their business, lack structured data, and lack technical, legal, and organizational knowledge. Experts say developing a vision/strategy is the most critical first step (Vankan et al., Dialogic, 2025). The report does not name Waterkracht or the hydropower sector.</w:t>
      </w:r>
    </w:p>
    <w:p>
      <w:pPr>
        <w:pStyle w:val="ListBullet"/>
      </w:pPr>
      <w:r>
        <w:rPr>
          <w:b/>
        </w:rPr>
        <w:t>Specific gap areas named by a national training initiative.</w:t>
      </w:r>
      <w:r>
        <w:t xml:space="preserve"> Smart Industry NL, with FME, AIC4NL and AI-Certified, launched a free online AI learning platform for the Dutch manufacturing industry. By building role-based courses on basic AI literacy, the EU AI Act's impact on companies, and human-AI collaboration, the initiative implies these are the gaps Dutch manufacturing SMEs currently have (Smart Industry NL, undated). This is a promotional announcement, not a study, so treat the implied gaps as plausible, not proven.</w:t>
      </w:r>
    </w:p>
    <w:p>
      <w:pPr>
        <w:pStyle w:val="ListBullet"/>
      </w:pPr>
      <w:r>
        <w:rPr>
          <w:b/>
        </w:rPr>
        <w:t>Trust, security and ethics gaps in generative AI.</w:t>
      </w:r>
      <w:r>
        <w:t xml:space="preserve"> An academic framework paper states that SMEs generally "lack comprehensive understanding of how to securely and responsibly implement AI technologies within their operational contexts," pointing to gaps in AI/LLM security, ethical use, and risk management (Sarker et al., 2025). This is generic across sectors and not verified with sector-specific data in what was reviewed.</w:t>
      </w:r>
    </w:p>
    <w:p>
      <w:pPr>
        <w:pStyle w:val="Heading1"/>
      </w:pPr>
      <w:r>
        <w:t>Risks</w:t>
      </w:r>
    </w:p>
    <w:p>
      <w:pPr>
        <w:pStyle w:val="ListBullet"/>
      </w:pPr>
      <w:r>
        <w:t>Acting on these findings as if they describe Waterkracht directly would be a mistake: none of the five sources mention Waterkracht, hydropower, or water-technology equipment. Extrapolating general manufacturing or Dutch SME findings to Waterkracht's specific situation is "not stated" and should be checked internally.</w:t>
      </w:r>
    </w:p>
    <w:p>
      <w:pPr>
        <w:pStyle w:val="ListBullet"/>
      </w:pPr>
      <w:r>
        <w:t>Any reference above to the EU AI Act reflects only a training-platform announcement's framing of the law's relevance, not a legal analysis (unchecked against primary legal text).</w:t>
      </w:r>
    </w:p>
    <w:p>
      <w:pPr>
        <w:pStyle w:val="ListBullet"/>
      </w:pPr>
      <w:r>
        <w:t>Two sources (Smart Industry NL, Sarker et al.) have a built-in promotional or self-interest angle (selling a training platform or a proposed framework), which may overstate the size of the gap they claim to solve.</w:t>
      </w:r>
    </w:p>
    <w:p>
      <w:pPr>
        <w:pStyle w:val="ListBullet"/>
      </w:pPr>
      <w:r>
        <w:t>The Dialogic/Ministry of Economic Affairs study's sample may be biased toward SMEs already engaged with AI support programs (its own stated limitation), which could understate the true gap for average technical SMEs.</w:t>
      </w:r>
    </w:p>
    <w:p>
      <w:pPr>
        <w:pStyle w:val="ListBullet"/>
      </w:pPr>
      <w:r>
        <w:t>The Bamberg/manufacturing-SME percentages (72%, 54%, 53%) come from a German regional study, not a Dutch or water-sector sample; applying these numbers directly to Waterkracht is not supported by the source.</w:t>
      </w:r>
    </w:p>
    <w:p>
      <w:pPr>
        <w:pStyle w:val="Heading1"/>
      </w:pPr>
      <w:r>
        <w:t>Checklist</w:t>
      </w:r>
    </w:p>
    <w:p>
      <w:pPr/>
      <w:r>
        <w:t>Use this as a starting self-check for Waterkracht, based on the gap categories found above:</w:t>
      </w:r>
    </w:p>
    <w:p>
      <w:pPr>
        <w:pStyle w:val="ListBullet"/>
      </w:pPr>
      <w:r>
        <w:t>☐ Do we have at least one person who understands, in practical terms, what AI can and cannot do for our equipment business? (expertise gap)</w:t>
      </w:r>
    </w:p>
    <w:p>
      <w:pPr>
        <w:pStyle w:val="ListBullet"/>
      </w:pPr>
      <w:r>
        <w:t>☐ Have we checked whether AI tools would work with our current software and machines, or would require new IT investment? (compatibility gap)</w:t>
      </w:r>
    </w:p>
    <w:p>
      <w:pPr>
        <w:pStyle w:val="ListBullet"/>
      </w:pPr>
      <w:r>
        <w:t>☐ Do we have clean, structured, accessible data (e.g. machine logs, maintenance records, sales data) that an AI tool could actually use? (data gap)</w:t>
      </w:r>
    </w:p>
    <w:p>
      <w:pPr>
        <w:pStyle w:val="ListBullet"/>
      </w:pPr>
      <w:r>
        <w:t>☐ Do we understand what the EU AI Act might require from a company like ours? (unchecked against primary legal text)</w:t>
      </w:r>
    </w:p>
    <w:p>
      <w:pPr>
        <w:pStyle w:val="ListBullet"/>
      </w:pPr>
      <w:r>
        <w:t>☐ Do we have a basic vision or strategy for why we would use AI, beyond "everyone else is doing it"?</w:t>
      </w:r>
    </w:p>
    <w:p>
      <w:pPr>
        <w:pStyle w:val="ListBullet"/>
      </w:pPr>
      <w:r>
        <w:t>☐ Have we discussed security, data protection, and responsible use before trying any AI tool, including generative AI/chatbots?</w:t>
      </w:r>
    </w:p>
    <w:p>
      <w:pPr>
        <w:pStyle w:val="Heading1"/>
      </w:pPr>
      <w:r>
        <w:t>Next action</w:t>
      </w:r>
    </w:p>
    <w:p>
      <w:pPr/>
      <w:r>
        <w:t>Ask the IT or operations lead at Waterkracht to walk through the checklist above in a one-hour internal meeting, and write down, honestly, which boxes are unchecked - this is the cheapest possible way to find out which specific knowledge gap to address first, before spending money on training or tools.</w:t>
      </w:r>
    </w:p>
    <w:p>
      <w:pPr>
        <w:pStyle w:val="Heading1"/>
      </w:pPr>
      <w:r>
        <w:t>Source list with confidence</w:t>
      </w:r>
    </w:p>
    <w:p>
      <w:pPr>
        <w:pStyle w:val="ListBullet"/>
      </w:pPr>
      <w:r>
        <w:t>Gebruik van AI-technologie door Nederlandse microbedrijven (CBS) - https://www.cbs.nl/nl-nl/longread/rapportages/2026/gebruik-van-ai-technologie-door-nederlandse-microbedrijven/2-gebruik-ai-technologie - Confidence: MEDIUM</w:t>
      </w:r>
    </w:p>
    <w:p>
      <w:pPr>
        <w:pStyle w:val="ListBullet"/>
      </w:pPr>
      <w:r>
        <w:t>The SME AI Experience Center: Overcoming AI Adoption Barriers for SMEs in Industrial Production - https://link.springer.com/article/10.1007/s13218-025-00899-4 - Confidence: MEDIUM</w:t>
      </w:r>
    </w:p>
    <w:p>
      <w:pPr>
        <w:pStyle w:val="ListBullet"/>
      </w:pPr>
      <w:r>
        <w:t>New AI learning platform with certification available for the manufacturing industry (Nieuw AI-leerplatform met certificering beschikbaar voor de maakindustrie) - https://smartindustry.nl/nieuw-ai-leerplatform-met-certificering-beschikbaar-voor-de-maakindustrie - Confidence: MEDIUM</w:t>
      </w:r>
    </w:p>
    <w:p>
      <w:pPr>
        <w:pStyle w:val="ListBullet"/>
      </w:pPr>
      <w:r>
        <w:t>SME-TEAM: Leveraging Trust and Ethics for Secure and Responsible Use of AI and LLMs in SMEs - https://arxiv.org/pdf/2509.10594 - Confidence: MEDIUM</w:t>
      </w:r>
    </w:p>
    <w:p>
      <w:pPr>
        <w:pStyle w:val="ListBullet"/>
      </w:pPr>
      <w:r>
        <w:t>Onderzoek AI-gebruik in het mkb: Ambitie of aarzeling? (Dialogic, for Ministerie van Economische Zaken) - https://dialogic.nl/wp-content/uploads/2025/11/onderzoek-ai-gebruik-in-het-mkb.pdf - Confidence: HIGH</w:t>
      </w:r>
    </w:p>
    <w:p>
      <w:pPr>
        <w:pStyle w:val="Heading1"/>
      </w:pPr>
      <w:r>
        <w:t>Source evaluations (AAOCC)</w:t>
      </w:r>
    </w:p>
    <w:p>
      <w:pPr>
        <w:pStyle w:val="Meta"/>
      </w:pPr>
      <w:r>
        <w:t>Scores from 1 (weak) to 5 (strong): Authority, Accuracy, Objectivity, Currency, Coverage. Scored by the AI - a researcher should check them.</w:t>
      </w:r>
    </w:p>
    <w:tbl>
      <w:tblPr>
        <w:tblStyle w:val="TableGrid"/>
        <w:tblW w:type="auto" w:w="0"/>
        <w:tblLook w:firstColumn="1" w:firstRow="1" w:lastColumn="0" w:lastRow="0" w:noHBand="0" w:noVBand="1" w:val="04A0"/>
        <w:tblLayout w:type="fixed"/>
        <w:tblCellMar>
          <w:top w:w="45" w:type="dxa"/>
          <w:bottom w:w="45" w:type="dxa"/>
          <w:left w:w="90" w:type="dxa"/>
          <w:right w:w="90" w:type="dxa"/>
        </w:tblCellMar>
        <w:tblLayout w:type="fixed"/>
      </w:tblPr>
      <w:tblGrid>
        <w:gridCol w:w="340"/>
        <w:gridCol w:w="3572"/>
        <w:gridCol w:w="793"/>
        <w:gridCol w:w="623"/>
        <w:gridCol w:w="567"/>
        <w:gridCol w:w="567"/>
        <w:gridCol w:w="567"/>
        <w:gridCol w:w="567"/>
        <w:gridCol w:w="567"/>
        <w:gridCol w:w="1134"/>
      </w:tblGrid>
      <w:tr>
        <w:tc>
          <w:tcPr>
            <w:tcW w:type="dxa" w:w="340"/>
            <w:shd w:val="clear" w:color="auto" w:fill="DCE8EC"/>
          </w:tcPr>
          <w:p>
            <w:pPr>
              <w:pStyle w:val="TableText"/>
            </w:pPr>
            <w:r>
              <w:rPr>
                <w:b/>
              </w:rPr>
            </w:r>
            <w:r>
              <w:rPr>
                <w:b/>
              </w:rPr>
              <w:t>#</w:t>
            </w:r>
          </w:p>
        </w:tc>
        <w:tc>
          <w:tcPr>
            <w:tcW w:type="dxa" w:w="3572"/>
            <w:shd w:val="clear" w:color="auto" w:fill="DCE8EC"/>
          </w:tcPr>
          <w:p>
            <w:pPr>
              <w:pStyle w:val="TableText"/>
            </w:pPr>
            <w:r>
              <w:rPr>
                <w:b/>
              </w:rPr>
            </w:r>
            <w:r>
              <w:rPr>
                <w:b/>
              </w:rPr>
              <w:t>Source</w:t>
            </w:r>
          </w:p>
        </w:tc>
        <w:tc>
          <w:tcPr>
            <w:tcW w:type="dxa" w:w="794"/>
            <w:shd w:val="clear" w:color="auto" w:fill="DCE8EC"/>
          </w:tcPr>
          <w:p>
            <w:pPr>
              <w:pStyle w:val="TableText"/>
            </w:pPr>
            <w:r>
              <w:rPr>
                <w:b/>
              </w:rPr>
            </w:r>
            <w:r>
              <w:rPr>
                <w:b/>
              </w:rPr>
              <w:t>Kind</w:t>
            </w:r>
          </w:p>
        </w:tc>
        <w:tc>
          <w:tcPr>
            <w:tcW w:type="dxa" w:w="624"/>
            <w:shd w:val="clear" w:color="auto" w:fill="DCE8EC"/>
          </w:tcPr>
          <w:p>
            <w:pPr>
              <w:pStyle w:val="TableText"/>
            </w:pPr>
            <w:r>
              <w:rPr>
                <w:b/>
              </w:rPr>
            </w:r>
            <w:r>
              <w:rPr>
                <w:b/>
              </w:rPr>
              <w:t>Auth.</w:t>
            </w:r>
          </w:p>
        </w:tc>
        <w:tc>
          <w:tcPr>
            <w:tcW w:type="dxa" w:w="567"/>
            <w:shd w:val="clear" w:color="auto" w:fill="DCE8EC"/>
          </w:tcPr>
          <w:p>
            <w:pPr>
              <w:pStyle w:val="TableText"/>
            </w:pPr>
            <w:r>
              <w:rPr>
                <w:b/>
              </w:rPr>
            </w:r>
            <w:r>
              <w:rPr>
                <w:b/>
              </w:rPr>
              <w:t>Acc.</w:t>
            </w:r>
          </w:p>
        </w:tc>
        <w:tc>
          <w:tcPr>
            <w:tcW w:type="dxa" w:w="567"/>
            <w:shd w:val="clear" w:color="auto" w:fill="DCE8EC"/>
          </w:tcPr>
          <w:p>
            <w:pPr>
              <w:pStyle w:val="TableText"/>
            </w:pPr>
            <w:r>
              <w:rPr>
                <w:b/>
              </w:rPr>
            </w:r>
            <w:r>
              <w:rPr>
                <w:b/>
              </w:rPr>
              <w:t>Obj.</w:t>
            </w:r>
          </w:p>
        </w:tc>
        <w:tc>
          <w:tcPr>
            <w:tcW w:type="dxa" w:w="567"/>
            <w:shd w:val="clear" w:color="auto" w:fill="DCE8EC"/>
          </w:tcPr>
          <w:p>
            <w:pPr>
              <w:pStyle w:val="TableText"/>
            </w:pPr>
            <w:r>
              <w:rPr>
                <w:b/>
              </w:rPr>
            </w:r>
            <w:r>
              <w:rPr>
                <w:b/>
              </w:rPr>
              <w:t>Cur.</w:t>
            </w:r>
          </w:p>
        </w:tc>
        <w:tc>
          <w:tcPr>
            <w:tcW w:type="dxa" w:w="567"/>
            <w:shd w:val="clear" w:color="auto" w:fill="DCE8EC"/>
          </w:tcPr>
          <w:p>
            <w:pPr>
              <w:pStyle w:val="TableText"/>
            </w:pPr>
            <w:r>
              <w:rPr>
                <w:b/>
              </w:rPr>
            </w:r>
            <w:r>
              <w:rPr>
                <w:b/>
              </w:rPr>
              <w:t>Cov.</w:t>
            </w:r>
          </w:p>
        </w:tc>
        <w:tc>
          <w:tcPr>
            <w:tcW w:type="dxa" w:w="567"/>
            <w:shd w:val="clear" w:color="auto" w:fill="DCE8EC"/>
          </w:tcPr>
          <w:p>
            <w:pPr>
              <w:pStyle w:val="TableText"/>
            </w:pPr>
            <w:r>
              <w:rPr>
                <w:b/>
              </w:rPr>
            </w:r>
            <w:r>
              <w:rPr>
                <w:b/>
              </w:rPr>
              <w:t>Avg.</w:t>
            </w:r>
          </w:p>
        </w:tc>
        <w:tc>
          <w:tcPr>
            <w:tcW w:type="dxa" w:w="1134"/>
            <w:shd w:val="clear" w:color="auto" w:fill="DCE8EC"/>
          </w:tcPr>
          <w:p>
            <w:pPr>
              <w:pStyle w:val="TableText"/>
            </w:pPr>
            <w:r>
              <w:rPr>
                <w:b/>
              </w:rPr>
            </w:r>
            <w:r>
              <w:rPr>
                <w:b/>
              </w:rPr>
              <w:t>Confidence</w:t>
            </w:r>
          </w:p>
        </w:tc>
      </w:tr>
      <w:tr>
        <w:tc>
          <w:tcPr>
            <w:tcW w:type="dxa" w:w="340"/>
          </w:tcPr>
          <w:p>
            <w:pPr>
              <w:pStyle w:val="TableText"/>
            </w:pPr>
            <w:r/>
            <w:r>
              <w:t>1</w:t>
            </w:r>
          </w:p>
        </w:tc>
        <w:tc>
          <w:tcPr>
            <w:tcW w:type="dxa" w:w="3572"/>
          </w:tcPr>
          <w:p>
            <w:pPr>
              <w:pStyle w:val="TableText"/>
            </w:pPr>
            <w:r/>
            <w:r>
              <w:rPr>
                <w:b/>
              </w:rPr>
              <w:t>Statistics Netherlands (CBS) – "Gebruik van AI-technologie door Nederlandse microbedrijven" (official government statistics on AI use/knowledge gaps by Dutch firm size, incl. MKB)</w:t>
            </w:r>
            <w:r>
              <w:br/>
              <w:t>https://www.cbs.nl/nl-nl/longread/rapportages/2026/gebruik-van-ai-technologie-door-nederlandse-microbedrijven/2-gebruik-ai-technologie</w:t>
            </w:r>
          </w:p>
        </w:tc>
        <w:tc>
          <w:tcPr>
            <w:tcW w:type="dxa" w:w="794"/>
          </w:tcPr>
          <w:p>
            <w:pPr>
              <w:pStyle w:val="TableText"/>
            </w:pPr>
            <w:r/>
            <w:r>
              <w:t>article</w:t>
            </w:r>
          </w:p>
        </w:tc>
        <w:tc>
          <w:tcPr>
            <w:tcW w:type="dxa" w:w="624"/>
          </w:tcPr>
          <w:p>
            <w:pPr>
              <w:pStyle w:val="TableText"/>
            </w:pPr>
            <w:r/>
            <w:r>
              <w:t>5</w:t>
            </w:r>
          </w:p>
        </w:tc>
        <w:tc>
          <w:tcPr>
            <w:tcW w:type="dxa" w:w="567"/>
          </w:tcPr>
          <w:p>
            <w:pPr>
              <w:pStyle w:val="TableText"/>
            </w:pPr>
            <w:r/>
            <w:r>
              <w:t>4</w:t>
            </w:r>
          </w:p>
        </w:tc>
        <w:tc>
          <w:tcPr>
            <w:tcW w:type="dxa" w:w="567"/>
          </w:tcPr>
          <w:p>
            <w:pPr>
              <w:pStyle w:val="TableText"/>
            </w:pPr>
            <w:r/>
            <w:r>
              <w:t>5</w:t>
            </w:r>
          </w:p>
        </w:tc>
        <w:tc>
          <w:tcPr>
            <w:tcW w:type="dxa" w:w="567"/>
          </w:tcPr>
          <w:p>
            <w:pPr>
              <w:pStyle w:val="TableText"/>
            </w:pPr>
            <w:r/>
            <w:r>
              <w:t>5</w:t>
            </w:r>
          </w:p>
        </w:tc>
        <w:tc>
          <w:tcPr>
            <w:tcW w:type="dxa" w:w="567"/>
          </w:tcPr>
          <w:p>
            <w:pPr>
              <w:pStyle w:val="TableText"/>
            </w:pPr>
            <w:r/>
            <w:r>
              <w:t>2</w:t>
            </w:r>
          </w:p>
        </w:tc>
        <w:tc>
          <w:tcPr>
            <w:tcW w:type="dxa" w:w="567"/>
          </w:tcPr>
          <w:p>
            <w:pPr>
              <w:pStyle w:val="TableText"/>
            </w:pPr>
            <w:r/>
            <w:r>
              <w:t>4.2</w:t>
            </w:r>
          </w:p>
        </w:tc>
        <w:tc>
          <w:tcPr>
            <w:tcW w:type="dxa" w:w="1134"/>
          </w:tcPr>
          <w:p>
            <w:pPr>
              <w:pStyle w:val="TableText"/>
            </w:pPr>
            <w:r/>
            <w:r>
              <w:t>MEDIUM</w:t>
            </w:r>
          </w:p>
        </w:tc>
      </w:tr>
      <w:tr>
        <w:tc>
          <w:tcPr>
            <w:tcW w:type="dxa" w:w="340"/>
          </w:tcPr>
          <w:p>
            <w:pPr>
              <w:pStyle w:val="TableText"/>
            </w:pPr>
            <w:r/>
            <w:r>
              <w:t>2</w:t>
            </w:r>
          </w:p>
        </w:tc>
        <w:tc>
          <w:tcPr>
            <w:tcW w:type="dxa" w:w="3572"/>
          </w:tcPr>
          <w:p>
            <w:pPr>
              <w:pStyle w:val="TableText"/>
            </w:pPr>
            <w:r/>
            <w:r>
              <w:rPr>
                <w:b/>
              </w:rPr>
              <w:t>The SME AI Experience Center: Overcoming AI Adoption Barriers for SMEs in Industrial Production (peer-reviewed, Springer, KI – Künstliche Intelligenz journal)</w:t>
            </w:r>
            <w:r>
              <w:br/>
              <w:t>https://link.springer.com/article/10.1007/s13218-025-00899-4</w:t>
            </w:r>
          </w:p>
        </w:tc>
        <w:tc>
          <w:tcPr>
            <w:tcW w:type="dxa" w:w="794"/>
          </w:tcPr>
          <w:p>
            <w:pPr>
              <w:pStyle w:val="TableText"/>
            </w:pPr>
            <w:r/>
            <w:r>
              <w:t>article</w:t>
            </w:r>
          </w:p>
        </w:tc>
        <w:tc>
          <w:tcPr>
            <w:tcW w:type="dxa" w:w="624"/>
          </w:tcPr>
          <w:p>
            <w:pPr>
              <w:pStyle w:val="TableText"/>
            </w:pPr>
            <w:r/>
            <w:r>
              <w:t>5</w:t>
            </w:r>
          </w:p>
        </w:tc>
        <w:tc>
          <w:tcPr>
            <w:tcW w:type="dxa" w:w="567"/>
          </w:tcPr>
          <w:p>
            <w:pPr>
              <w:pStyle w:val="TableText"/>
            </w:pPr>
            <w:r/>
            <w:r>
              <w:t>4</w:t>
            </w:r>
          </w:p>
        </w:tc>
        <w:tc>
          <w:tcPr>
            <w:tcW w:type="dxa" w:w="567"/>
          </w:tcPr>
          <w:p>
            <w:pPr>
              <w:pStyle w:val="TableText"/>
            </w:pPr>
            <w:r/>
            <w:r>
              <w:t>3</w:t>
            </w:r>
          </w:p>
        </w:tc>
        <w:tc>
          <w:tcPr>
            <w:tcW w:type="dxa" w:w="567"/>
          </w:tcPr>
          <w:p>
            <w:pPr>
              <w:pStyle w:val="TableText"/>
            </w:pPr>
            <w:r/>
            <w:r>
              <w:t>5</w:t>
            </w:r>
          </w:p>
        </w:tc>
        <w:tc>
          <w:tcPr>
            <w:tcW w:type="dxa" w:w="567"/>
          </w:tcPr>
          <w:p>
            <w:pPr>
              <w:pStyle w:val="TableText"/>
            </w:pPr>
            <w:r/>
            <w:r>
              <w:t>3</w:t>
            </w:r>
          </w:p>
        </w:tc>
        <w:tc>
          <w:tcPr>
            <w:tcW w:type="dxa" w:w="567"/>
          </w:tcPr>
          <w:p>
            <w:pPr>
              <w:pStyle w:val="TableText"/>
            </w:pPr>
            <w:r/>
            <w:r>
              <w:t>4.0</w:t>
            </w:r>
          </w:p>
        </w:tc>
        <w:tc>
          <w:tcPr>
            <w:tcW w:type="dxa" w:w="1134"/>
          </w:tcPr>
          <w:p>
            <w:pPr>
              <w:pStyle w:val="TableText"/>
            </w:pPr>
            <w:r/>
            <w:r>
              <w:t>MEDIUM</w:t>
            </w:r>
          </w:p>
        </w:tc>
      </w:tr>
      <w:tr>
        <w:tc>
          <w:tcPr>
            <w:tcW w:type="dxa" w:w="340"/>
          </w:tcPr>
          <w:p>
            <w:pPr>
              <w:pStyle w:val="TableText"/>
            </w:pPr>
            <w:r/>
            <w:r>
              <w:t>3</w:t>
            </w:r>
          </w:p>
        </w:tc>
        <w:tc>
          <w:tcPr>
            <w:tcW w:type="dxa" w:w="3572"/>
          </w:tcPr>
          <w:p>
            <w:pPr>
              <w:pStyle w:val="TableText"/>
            </w:pPr>
            <w:r/>
            <w:r>
              <w:rPr>
                <w:b/>
              </w:rPr>
              <w:t>New AI learning platform with certification available for the manufacturing industry ("Nieuw AI-leerplatform met certificering beschikbaar voor de maakindustrie") – Smart Industry NL, launched with FME and AIC4NL, targeting Dutch manufacturing/industrial-equipment SMEs</w:t>
            </w:r>
            <w:r>
              <w:br/>
              <w:t>https://smartindustry.nl/nieuw-ai-leerplatform-met-certificering-beschikbaar-voor-de-maakindustrie</w:t>
            </w:r>
          </w:p>
        </w:tc>
        <w:tc>
          <w:tcPr>
            <w:tcW w:type="dxa" w:w="794"/>
          </w:tcPr>
          <w:p>
            <w:pPr>
              <w:pStyle w:val="TableText"/>
            </w:pPr>
            <w:r/>
            <w:r>
              <w:t>article</w:t>
            </w:r>
          </w:p>
        </w:tc>
        <w:tc>
          <w:tcPr>
            <w:tcW w:type="dxa" w:w="624"/>
          </w:tcPr>
          <w:p>
            <w:pPr>
              <w:pStyle w:val="TableText"/>
            </w:pPr>
            <w:r/>
            <w:r>
              <w:t>4</w:t>
            </w:r>
          </w:p>
        </w:tc>
        <w:tc>
          <w:tcPr>
            <w:tcW w:type="dxa" w:w="567"/>
          </w:tcPr>
          <w:p>
            <w:pPr>
              <w:pStyle w:val="TableText"/>
            </w:pPr>
            <w:r/>
            <w:r>
              <w:t>3</w:t>
            </w:r>
          </w:p>
        </w:tc>
        <w:tc>
          <w:tcPr>
            <w:tcW w:type="dxa" w:w="567"/>
          </w:tcPr>
          <w:p>
            <w:pPr>
              <w:pStyle w:val="TableText"/>
            </w:pPr>
            <w:r/>
            <w:r>
              <w:t>2</w:t>
            </w:r>
          </w:p>
        </w:tc>
        <w:tc>
          <w:tcPr>
            <w:tcW w:type="dxa" w:w="567"/>
          </w:tcPr>
          <w:p>
            <w:pPr>
              <w:pStyle w:val="TableText"/>
            </w:pPr>
            <w:r/>
            <w:r>
              <w:t>3</w:t>
            </w:r>
          </w:p>
        </w:tc>
        <w:tc>
          <w:tcPr>
            <w:tcW w:type="dxa" w:w="567"/>
          </w:tcPr>
          <w:p>
            <w:pPr>
              <w:pStyle w:val="TableText"/>
            </w:pPr>
            <w:r/>
            <w:r>
              <w:t>3</w:t>
            </w:r>
          </w:p>
        </w:tc>
        <w:tc>
          <w:tcPr>
            <w:tcW w:type="dxa" w:w="567"/>
          </w:tcPr>
          <w:p>
            <w:pPr>
              <w:pStyle w:val="TableText"/>
            </w:pPr>
            <w:r/>
            <w:r>
              <w:t>3.0</w:t>
            </w:r>
          </w:p>
        </w:tc>
        <w:tc>
          <w:tcPr>
            <w:tcW w:type="dxa" w:w="1134"/>
          </w:tcPr>
          <w:p>
            <w:pPr>
              <w:pStyle w:val="TableText"/>
            </w:pPr>
            <w:r/>
            <w:r>
              <w:t>MEDIUM</w:t>
            </w:r>
          </w:p>
        </w:tc>
      </w:tr>
      <w:tr>
        <w:tc>
          <w:tcPr>
            <w:tcW w:type="dxa" w:w="340"/>
          </w:tcPr>
          <w:p>
            <w:pPr>
              <w:pStyle w:val="TableText"/>
            </w:pPr>
            <w:r/>
            <w:r>
              <w:t>4</w:t>
            </w:r>
          </w:p>
        </w:tc>
        <w:tc>
          <w:tcPr>
            <w:tcW w:type="dxa" w:w="3572"/>
          </w:tcPr>
          <w:p>
            <w:pPr>
              <w:pStyle w:val="TableText"/>
            </w:pPr>
            <w:r/>
            <w:r>
              <w:rPr>
                <w:b/>
              </w:rPr>
              <w:t>SME-TEAM: Leveraging Trust and Ethics for Secure and Responsible Use of AI and LLMs in SMEs</w:t>
            </w:r>
            <w:r>
              <w:br/>
              <w:t>https://arxiv.org/pdf/2509.10594</w:t>
            </w:r>
          </w:p>
        </w:tc>
        <w:tc>
          <w:tcPr>
            <w:tcW w:type="dxa" w:w="794"/>
          </w:tcPr>
          <w:p>
            <w:pPr>
              <w:pStyle w:val="TableText"/>
            </w:pPr>
            <w:r/>
            <w:r>
              <w:t>article</w:t>
            </w:r>
          </w:p>
        </w:tc>
        <w:tc>
          <w:tcPr>
            <w:tcW w:type="dxa" w:w="624"/>
          </w:tcPr>
          <w:p>
            <w:pPr>
              <w:pStyle w:val="TableText"/>
            </w:pPr>
            <w:r/>
            <w:r>
              <w:t>3</w:t>
            </w:r>
          </w:p>
        </w:tc>
        <w:tc>
          <w:tcPr>
            <w:tcW w:type="dxa" w:w="567"/>
          </w:tcPr>
          <w:p>
            <w:pPr>
              <w:pStyle w:val="TableText"/>
            </w:pPr>
            <w:r/>
            <w:r>
              <w:t>3</w:t>
            </w:r>
          </w:p>
        </w:tc>
        <w:tc>
          <w:tcPr>
            <w:tcW w:type="dxa" w:w="567"/>
          </w:tcPr>
          <w:p>
            <w:pPr>
              <w:pStyle w:val="TableText"/>
            </w:pPr>
            <w:r/>
            <w:r>
              <w:t>3</w:t>
            </w:r>
          </w:p>
        </w:tc>
        <w:tc>
          <w:tcPr>
            <w:tcW w:type="dxa" w:w="567"/>
          </w:tcPr>
          <w:p>
            <w:pPr>
              <w:pStyle w:val="TableText"/>
            </w:pPr>
            <w:r/>
            <w:r>
              <w:t>5</w:t>
            </w:r>
          </w:p>
        </w:tc>
        <w:tc>
          <w:tcPr>
            <w:tcW w:type="dxa" w:w="567"/>
          </w:tcPr>
          <w:p>
            <w:pPr>
              <w:pStyle w:val="TableText"/>
            </w:pPr>
            <w:r/>
            <w:r>
              <w:t>2</w:t>
            </w:r>
          </w:p>
        </w:tc>
        <w:tc>
          <w:tcPr>
            <w:tcW w:type="dxa" w:w="567"/>
          </w:tcPr>
          <w:p>
            <w:pPr>
              <w:pStyle w:val="TableText"/>
            </w:pPr>
            <w:r/>
            <w:r>
              <w:t>3.2</w:t>
            </w:r>
          </w:p>
        </w:tc>
        <w:tc>
          <w:tcPr>
            <w:tcW w:type="dxa" w:w="1134"/>
          </w:tcPr>
          <w:p>
            <w:pPr>
              <w:pStyle w:val="TableText"/>
            </w:pPr>
            <w:r/>
            <w:r>
              <w:t>MEDIUM</w:t>
            </w:r>
          </w:p>
        </w:tc>
      </w:tr>
      <w:tr>
        <w:tc>
          <w:tcPr>
            <w:tcW w:type="dxa" w:w="340"/>
          </w:tcPr>
          <w:p>
            <w:pPr>
              <w:pStyle w:val="TableText"/>
            </w:pPr>
            <w:r/>
            <w:r>
              <w:t>5</w:t>
            </w:r>
          </w:p>
        </w:tc>
        <w:tc>
          <w:tcPr>
            <w:tcW w:type="dxa" w:w="3572"/>
          </w:tcPr>
          <w:p>
            <w:pPr>
              <w:pStyle w:val="TableText"/>
            </w:pPr>
            <w:r/>
            <w:r>
              <w:rPr>
                <w:b/>
              </w:rPr>
              <w:t>Onderzoek AI-gebruik in het mkb: Ambitie of aarzeling? (Dialogic, Dutch research report on AI use among SMEs — directly addresses knowledge/skills gaps, perceived preparedness, and training needs)</w:t>
            </w:r>
            <w:r>
              <w:br/>
              <w:t>https://dialogic.nl/wp-content/uploads/2025/11/onderzoek-ai-gebruik-in-het-mkb.pdf</w:t>
            </w:r>
          </w:p>
        </w:tc>
        <w:tc>
          <w:tcPr>
            <w:tcW w:type="dxa" w:w="794"/>
          </w:tcPr>
          <w:p>
            <w:pPr>
              <w:pStyle w:val="TableText"/>
            </w:pPr>
            <w:r/>
            <w:r>
              <w:t>pdf</w:t>
            </w:r>
          </w:p>
        </w:tc>
        <w:tc>
          <w:tcPr>
            <w:tcW w:type="dxa" w:w="624"/>
          </w:tcPr>
          <w:p>
            <w:pPr>
              <w:pStyle w:val="TableText"/>
            </w:pPr>
            <w:r/>
            <w:r>
              <w:t>5</w:t>
            </w:r>
          </w:p>
        </w:tc>
        <w:tc>
          <w:tcPr>
            <w:tcW w:type="dxa" w:w="567"/>
          </w:tcPr>
          <w:p>
            <w:pPr>
              <w:pStyle w:val="TableText"/>
            </w:pPr>
            <w:r/>
            <w:r>
              <w:t>4</w:t>
            </w:r>
          </w:p>
        </w:tc>
        <w:tc>
          <w:tcPr>
            <w:tcW w:type="dxa" w:w="567"/>
          </w:tcPr>
          <w:p>
            <w:pPr>
              <w:pStyle w:val="TableText"/>
            </w:pPr>
            <w:r/>
            <w:r>
              <w:t>4</w:t>
            </w:r>
          </w:p>
        </w:tc>
        <w:tc>
          <w:tcPr>
            <w:tcW w:type="dxa" w:w="567"/>
          </w:tcPr>
          <w:p>
            <w:pPr>
              <w:pStyle w:val="TableText"/>
            </w:pPr>
            <w:r/>
            <w:r>
              <w:t>5</w:t>
            </w:r>
          </w:p>
        </w:tc>
        <w:tc>
          <w:tcPr>
            <w:tcW w:type="dxa" w:w="567"/>
          </w:tcPr>
          <w:p>
            <w:pPr>
              <w:pStyle w:val="TableText"/>
            </w:pPr>
            <w:r/>
            <w:r>
              <w:t>3</w:t>
            </w:r>
          </w:p>
        </w:tc>
        <w:tc>
          <w:tcPr>
            <w:tcW w:type="dxa" w:w="567"/>
          </w:tcPr>
          <w:p>
            <w:pPr>
              <w:pStyle w:val="TableText"/>
            </w:pPr>
            <w:r/>
            <w:r>
              <w:t>4.2</w:t>
            </w:r>
          </w:p>
        </w:tc>
        <w:tc>
          <w:tcPr>
            <w:tcW w:type="dxa" w:w="1134"/>
          </w:tcPr>
          <w:p>
            <w:pPr>
              <w:pStyle w:val="TableText"/>
            </w:pPr>
            <w:r/>
            <w:r>
              <w:t>HIGH</w:t>
            </w:r>
          </w:p>
        </w:tc>
      </w:tr>
    </w:tbl>
    <w:p>
      <w:pPr>
        <w:pStyle w:val="Meta"/>
      </w:pPr>
    </w:p>
    <w:p>
      <w:pPr>
        <w:pStyle w:val="Heading1"/>
      </w:pPr>
      <w:r>
        <w:t>Automated quality check</w:t>
      </w:r>
    </w:p>
    <w:p>
      <w:pPr>
        <w:pStyle w:val="Meta"/>
      </w:pPr>
      <w:r>
        <w:t xml:space="preserve">Verdict: </w:t>
      </w:r>
      <w:r>
        <w:rPr>
          <w:b/>
        </w:rPr>
        <w:t>NEEDS REWORK</w:t>
      </w:r>
      <w:r>
        <w:t xml:space="preserve">  (an AI check against the project criteria - not a replacement for the researcher's review)</w:t>
      </w:r>
    </w:p>
    <w:p>
      <w:pPr>
        <w:pStyle w:val="Heading2"/>
      </w:pPr>
      <w:r>
        <w:t>Quality Gate Review — DRAFT: AI Knowledge Gaps for SMEs in the Waterkracht Sector</w:t>
      </w:r>
    </w:p>
    <w:p>
      <w:pPr>
        <w:pStyle w:val="Heading2"/>
      </w:pPr>
      <w:r>
        <w:t>Criterion-by-criterion assessment</w:t>
      </w:r>
    </w:p>
    <w:p>
      <w:pPr/>
      <w:r>
        <w:rPr>
          <w:b/>
        </w:rPr>
        <w:t>1. Every claim traces to a source (no invented facts) — PARTIAL</w:t>
      </w:r>
    </w:p>
    <w:p>
      <w:pPr/>
      <w:r>
        <w:t>Most claims are attributed, but two problems:</w:t>
      </w:r>
    </w:p>
    <w:p>
      <w:pPr>
        <w:pStyle w:val="ListBullet"/>
      </w:pPr>
      <w:r>
        <w:t>In the Risks section, "The Bamberg/manufacturing-SME percentages (72%, 54%, 53%)" introduces the detail "Bamberg" that never appears in the Key Findings section (which only says "a German study"). This looks like an invented or unverified detail added later in the draft — flag for removal or sourcing.</w:t>
      </w:r>
    </w:p>
    <w:p>
      <w:pPr>
        <w:pStyle w:val="ListBullet"/>
      </w:pPr>
      <w:r>
        <w:t>The in-text citation "Knoblach et al., 2025" cannot be cross-checked against the source-list entry, which gives only a title ("The SME AI Experience Center...") and a Springer link, with no author name shown. The researcher should confirm the author name matches before this is published.</w:t>
      </w:r>
    </w:p>
    <w:p>
      <w:pPr/>
      <w:r>
        <w:rPr>
          <w:b/>
        </w:rPr>
        <w:t>2. All required sections present — PASS</w:t>
      </w:r>
    </w:p>
    <w:p>
      <w:pPr/>
      <w:r>
        <w:t>Research question, business relevance, key findings, risks, checklist, next action, and source list with confidence are all present.</w:t>
      </w:r>
    </w:p>
    <w:p>
      <w:pPr/>
      <w:r>
        <w:rPr>
          <w:b/>
        </w:rPr>
        <w:t>3. Exactly one concrete next action — PASS</w:t>
      </w:r>
    </w:p>
    <w:p>
      <w:pPr/>
      <w:r>
        <w:t>Only one next action is given (the one-hour checklist meeting with IT/operations lead).</w:t>
      </w:r>
    </w:p>
    <w:p>
      <w:pPr/>
      <w:r>
        <w:rPr>
          <w:b/>
        </w:rPr>
        <w:t>4. SME feasibility focus, not big-company examples — PASS</w:t>
      </w:r>
    </w:p>
    <w:p>
      <w:pPr/>
      <w:r>
        <w:t>Findings and checklist are framed around cost-free/low-cost internal actions (a meeting, a checklist) appropriate for an SME; no large-company case studies are used as the basis for recommendations.</w:t>
      </w:r>
    </w:p>
    <w:p>
      <w:pPr/>
      <w:r>
        <w:rPr>
          <w:b/>
        </w:rPr>
        <w:t>5. Technical readiness vs organisational readiness kept separate — PASS</w:t>
      </w:r>
    </w:p>
    <w:p>
      <w:pPr/>
      <w:r>
        <w:t>The draft distinguishes expertise/vision (organisational) from IT compatibility and data quality (technical) as separate checklist items and separate categories in the German-study finding.</w:t>
      </w:r>
    </w:p>
    <w:p>
      <w:pPr/>
      <w:r>
        <w:rPr>
          <w:b/>
        </w:rPr>
        <w:t>6. Legal/regulatory claims flagged as checked or unchecked — PASS</w:t>
      </w:r>
    </w:p>
    <w:p>
      <w:pPr/>
      <w:r>
        <w:t>The EU AI Act reference is explicitly labelled "unchecked against primary legal text" in both the Risks section and the checklist. No GDPR claims are made, so none need flagging.</w:t>
      </w:r>
    </w:p>
    <w:p>
      <w:pPr/>
      <w:r>
        <w:rPr>
          <w:b/>
        </w:rPr>
        <w:t>7. Plain, direct language — PARTIAL</w:t>
      </w:r>
    </w:p>
    <w:p>
      <w:pPr/>
      <w:r>
        <w:t>Mostly plain and direct, but "LLM" appears unexplained in the Sarker et al. finding and risks ("AI/LLM security") — minor jargon not spelled out.</w:t>
      </w:r>
    </w:p>
    <w:p>
      <w:pPr/>
      <w:r>
        <w:rPr>
          <w:b/>
        </w:rPr>
        <w:t>8. Entirely in English, Dutch quotes given in English + original in parentheses — PASS</w:t>
      </w:r>
    </w:p>
    <w:p>
      <w:pPr/>
      <w:r>
        <w:t>Dutch terms ("gebrek aan kennis en vaardigheden," "technische sectoren," the Smart Industry NL title) are consistently given in English first with the Dutch original in parentheses.</w:t>
      </w:r>
    </w:p>
    <w:p>
      <w:pPr/>
      <w:r>
        <w:rPr>
          <w:b/>
        </w:rPr>
        <w:t>9. Confidence levels and full URLs for every source — PASS</w:t>
      </w:r>
    </w:p>
    <w:p>
      <w:pPr/>
      <w:r>
        <w:t>All five sources list a full URL and a confidence rating.</w:t>
      </w:r>
    </w:p>
    <w:p>
      <w:pPr>
        <w:pStyle w:val="Heading2"/>
      </w:pPr>
      <w:r>
        <w:t>Overall verdict: NEEDS REWORK</w:t>
      </w:r>
    </w:p>
    <w:p>
      <w:pPr>
        <w:pStyle w:val="Heading2"/>
      </w:pPr>
      <w:r>
        <w:t>Top issues to fix first</w:t>
      </w:r>
    </w:p>
    <w:p>
      <w:pPr>
        <w:pStyle w:val="ListBullet"/>
      </w:pPr>
      <w:r>
        <w:rPr>
          <w:b/>
        </w:rPr>
        <w:t>Invented/unsupported detail:</w:t>
      </w:r>
      <w:r>
        <w:t xml:space="preserve"> "Bamberg" in the Risks section is not supported anywhere else in the draft and must be removed or sourced — this is the most serious issue since it violates the no-invention rule directly.</w:t>
      </w:r>
    </w:p>
    <w:p>
      <w:pPr>
        <w:pStyle w:val="ListBullet"/>
      </w:pPr>
      <w:r>
        <w:rPr>
          <w:b/>
        </w:rPr>
        <w:t>Unverifiable citation:</w:t>
      </w:r>
      <w:r>
        <w:t xml:space="preserve"> "Knoblach et al., 2025" should be checked against the actual source (author name is not shown in the source-list entry) before publication.</w:t>
      </w:r>
    </w:p>
    <w:p>
      <w:pPr>
        <w:pStyle w:val="ListBullet"/>
      </w:pPr>
      <w:r>
        <w:rPr>
          <w:b/>
        </w:rPr>
        <w:t>Minor jargon fix:</w:t>
      </w:r>
      <w:r>
        <w:t xml:space="preserve"> spell out "LLM" (large language model) on first use.</w:t>
      </w:r>
    </w:p>
    <w:p>
      <w:pPr>
        <w:pStyle w:val="Heading1"/>
      </w:pPr>
      <w:r>
        <w:t>Researcher review</w:t>
      </w:r>
    </w:p>
    <w:p>
      <w:pPr>
        <w:pStyle w:val="Meta"/>
      </w:pPr>
      <w:r>
        <w:t>To be filled in by the researcher. Nothing is published without this approval.</w:t>
      </w:r>
    </w:p>
    <w:tbl>
      <w:tblPr>
        <w:tblStyle w:val="TableGrid"/>
        <w:tblW w:type="auto" w:w="0"/>
        <w:tblLook w:firstColumn="1" w:firstRow="1" w:lastColumn="0" w:lastRow="0" w:noHBand="0" w:noVBand="1" w:val="04A0"/>
        <w:tblLayout w:type="fixed"/>
        <w:tblCellMar>
          <w:top w:w="45" w:type="dxa"/>
          <w:bottom w:w="45" w:type="dxa"/>
          <w:left w:w="90" w:type="dxa"/>
          <w:right w:w="90" w:type="dxa"/>
        </w:tblCellMar>
        <w:tblLayout w:type="fixed"/>
      </w:tblPr>
      <w:tblGrid>
        <w:gridCol w:w="2551"/>
        <w:gridCol w:w="6747"/>
      </w:tblGrid>
      <w:tr>
        <w:tc>
          <w:tcPr>
            <w:tcW w:type="dxa" w:w="2551"/>
            <w:shd w:val="clear" w:color="auto" w:fill="EEF3F5"/>
          </w:tcPr>
          <w:p>
            <w:pPr>
              <w:pStyle w:val="TableText"/>
            </w:pPr>
            <w:r>
              <w:rPr>
                <w:b/>
              </w:rPr>
            </w:r>
            <w:r>
              <w:rPr>
                <w:b/>
              </w:rPr>
              <w:t>Reviewed by</w:t>
            </w:r>
          </w:p>
        </w:tc>
        <w:tc>
          <w:tcPr>
            <w:tcW w:type="dxa" w:w="6746"/>
          </w:tcPr>
          <w:p>
            <w:pPr>
              <w:pStyle w:val="TableText"/>
            </w:pPr>
            <w:r/>
          </w:p>
        </w:tc>
      </w:tr>
      <w:tr>
        <w:tc>
          <w:tcPr>
            <w:tcW w:type="dxa" w:w="2551"/>
            <w:shd w:val="clear" w:color="auto" w:fill="EEF3F5"/>
          </w:tcPr>
          <w:p>
            <w:pPr>
              <w:pStyle w:val="TableText"/>
            </w:pPr>
            <w:r>
              <w:rPr>
                <w:b/>
              </w:rPr>
            </w:r>
            <w:r>
              <w:rPr>
                <w:b/>
              </w:rPr>
              <w:t>Date</w:t>
            </w:r>
          </w:p>
        </w:tc>
        <w:tc>
          <w:tcPr>
            <w:tcW w:type="dxa" w:w="6746"/>
          </w:tcPr>
          <w:p>
            <w:pPr>
              <w:pStyle w:val="TableText"/>
            </w:pPr>
            <w:r/>
          </w:p>
        </w:tc>
      </w:tr>
      <w:tr>
        <w:tc>
          <w:tcPr>
            <w:tcW w:type="dxa" w:w="2551"/>
            <w:shd w:val="clear" w:color="auto" w:fill="EEF3F5"/>
          </w:tcPr>
          <w:p>
            <w:pPr>
              <w:pStyle w:val="TableText"/>
            </w:pPr>
            <w:r>
              <w:rPr>
                <w:b/>
              </w:rPr>
            </w:r>
            <w:r>
              <w:rPr>
                <w:b/>
              </w:rPr>
              <w:t>Decision</w:t>
            </w:r>
          </w:p>
        </w:tc>
        <w:tc>
          <w:tcPr>
            <w:tcW w:type="dxa" w:w="6746"/>
          </w:tcPr>
          <w:p>
            <w:pPr>
              <w:pStyle w:val="TableText"/>
            </w:pPr>
            <w:r/>
            <w:r>
              <w:t>☐ Approve     ☐ Needs rework     ☐ Reject</w:t>
            </w:r>
          </w:p>
        </w:tc>
      </w:tr>
      <w:tr>
        <w:tc>
          <w:tcPr>
            <w:tcW w:type="dxa" w:w="2551"/>
            <w:shd w:val="clear" w:color="auto" w:fill="EEF3F5"/>
          </w:tcPr>
          <w:p>
            <w:pPr>
              <w:pStyle w:val="TableText"/>
            </w:pPr>
            <w:r>
              <w:rPr>
                <w:b/>
              </w:rPr>
            </w:r>
            <w:r>
              <w:rPr>
                <w:b/>
              </w:rPr>
              <w:t>Notes</w:t>
            </w:r>
          </w:p>
        </w:tc>
        <w:tc>
          <w:tcPr>
            <w:tcW w:type="dxa" w:w="6746"/>
          </w:tcPr>
          <w:p>
            <w:pPr>
              <w:pStyle w:val="TableText"/>
            </w:pPr>
            <w:r/>
            <w:r>
              <w:br/>
              <w:br/>
              <w:br/>
            </w:r>
          </w:p>
        </w:tc>
      </w:tr>
    </w:tbl>
    <w:p>
      <w:pPr>
        <w:pStyle w:val="Meta"/>
      </w:pPr>
    </w:p>
    <w:sectPr w:rsidR="00FC693F" w:rsidRPr="0006063C" w:rsidSect="00034616">
      <w:headerReference w:type="default" r:id="rId9"/>
      <w:footerReference w:type="default" r:id="rId10"/>
      <w:pgSz w:w="11906" w:h="16838"/>
      <w:pgMar w:top="1247" w:right="1304" w:bottom="1134" w:left="130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tabs>
        <w:tab w:val="right" w:pos="9298"/>
      </w:tabs>
      <w:pBdr>
        <w:top w:val="single" w:sz="4" w:space="4" w:color="D0D7DB"/>
      </w:pBdr>
    </w:pPr>
    <w:r>
      <w:t>Made with the MDDD handbook demo  ·  check every claim against its source</w:t>
    </w:r>
    <w:r>
      <w:tab/>
      <w:t xml:space="preserve">Page </w:t>
    </w:r>
    <w:r>
      <w:fldChar w:fldCharType="begin"/>
      <w:instrText xml:space="preserve"> PAGE </w:instrText>
      <w:fldChar w:fldCharType="separate"/>
      <w:t>1</w:t>
      <w:fldChar w:fldCharType="end"/>
    </w:r>
    <w: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Meta"/>
      <w:tabs>
        <w:tab w:val="right" w:pos="9298"/>
      </w:tabs>
      <w:pBdr>
        <w:bottom w:val="single" w:sz="4" w:space="4" w:color="D0D7DB"/>
      </w:pBdr>
    </w:pPr>
    <w:r>
      <w:rPr>
        <w:b/>
        <w:color w:val="1F4E5F"/>
      </w:rPr>
      <w:t>AI Handbook  ·  Dutch technical SMEs</w:t>
    </w:r>
    <w:r>
      <w:rPr>
        <w:color w:val="7A5200"/>
      </w:rPr>
      <w:tab/>
      <w:t>DRAFT  –  not approved for publication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Bdr>
        <w:bottom w:val="single" w:sz="6" w:space="2" w:color="1F4E5F"/>
      </w:pBdr>
    </w:pPr>
    <w:rPr>
      <w:rFonts w:ascii="Calibri" w:hAnsi="Calibri" w:cs="Calibri" w:eastAsia="Calibri"/>
      <w:b/>
      <w:bCs/>
      <w:color w:val="1F4E5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Calibri" w:hAnsi="Calibri" w:cs="Calibri" w:eastAsia="Calibri"/>
      <w:b/>
      <w:bCs/>
      <w:color w:val="1F4E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Calibri" w:hAnsi="Calibri" w:cs="Calibri" w:eastAsia="Calibri"/>
      <w:b/>
      <w:color w:val="1F4E5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Calibri" w:hAnsi="Calibri" w:cs="Calibri" w:eastAsia="Calibri"/>
      <w:i w:val="0"/>
      <w:iCs/>
      <w:color w:val="5F6368"/>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cs="Calibri" w:eastAsia="Calibri"/>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cs="Calibri" w:eastAsia="Calibri"/>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cs="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Banner">
    <w:name w:val="Draft Banner"/>
    <w:basedOn w:val="Normal"/>
    <w:pPr>
      <w:spacing w:before="80" w:after="240"/>
      <w:shd w:val="clear" w:color="auto" w:fill="FFF3CD"/>
      <w:pBdr>
        <w:top w:val="single" w:sz="6" w:space="4" w:color="D8A400"/>
        <w:left w:val="single" w:sz="6" w:space="4" w:color="D8A400"/>
        <w:bottom w:val="single" w:sz="6" w:space="4" w:color="D8A400"/>
        <w:right w:val="single" w:sz="6" w:space="4" w:color="D8A400"/>
      </w:pBdr>
    </w:pPr>
    <w:rPr>
      <w:rFonts w:ascii="Calibri" w:hAnsi="Calibri" w:cs="Calibri" w:eastAsia="Calibri"/>
      <w:b/>
      <w:color w:val="7A5200"/>
      <w:sz w:val="21"/>
    </w:rPr>
  </w:style>
  <w:style w:type="paragraph" w:customStyle="1" w:styleId="Meta">
    <w:name w:val="Meta"/>
    <w:basedOn w:val="Normal"/>
    <w:pPr>
      <w:spacing w:after="60"/>
    </w:pPr>
    <w:rPr>
      <w:rFonts w:ascii="Calibri" w:hAnsi="Calibri" w:cs="Calibri" w:eastAsia="Calibri"/>
      <w:color w:val="5F6368"/>
      <w:sz w:val="18"/>
    </w:rPr>
  </w:style>
  <w:style w:type="paragraph" w:customStyle="1" w:styleId="TableText">
    <w:name w:val="Table Text"/>
    <w:basedOn w:val="Normal"/>
    <w:pPr>
      <w:spacing w:after="0" w:line="240" w:lineRule="auto"/>
    </w:pPr>
    <w:rPr>
      <w:rFonts w:ascii="Calibri" w:hAnsi="Calibri" w:cs="Calibri" w:eastAsia="Calibri"/>
      <w:sz w:val="18"/>
    </w:rPr>
  </w:style>
  <w:style w:type="paragraph" w:customStyle="1" w:styleId="WarningNote">
    <w:name w:val="Warning Note"/>
    <w:basedOn w:val="Normal"/>
    <w:pPr>
      <w:shd w:val="clear" w:color="auto" w:fill="FDECEA"/>
      <w:pBdr>
        <w:left w:val="single" w:sz="18" w:space="6" w:color="D93025"/>
      </w:pBdr>
    </w:pPr>
    <w:rPr>
      <w:rFonts w:ascii="Calibri" w:hAnsi="Calibri" w:cs="Calibri" w:eastAsia="Calibri"/>
      <w:color w:val="7A1D1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are SME's knowledge gaps regarding AI in the sector of Waterkracht?</dc:title>
  <dc:subject>AI handbook page (DRAFT)</dc:subject>
  <dc:creator>MDDD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