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36"/>
          <w:szCs w:val="36"/>
        </w:rPr>
        <w:t xml:space="preserve">AI Handbook Platform — Knowledge Architecture</w:t>
      </w:r>
    </w:p>
    <w:p>
      <w:pPr>
        <w:spacing w:after="60"/>
      </w:pPr>
      <w:r>
        <w:rPr>
          <w:rFonts w:ascii="Calibri" w:cs="Calibri" w:eastAsia="Calibri" w:hAnsi="Calibri"/>
          <w:i/>
          <w:iCs/>
          <w:color w:val="555555"/>
          <w:sz w:val="24"/>
          <w:szCs w:val="24"/>
        </w:rPr>
        <w:t xml:space="preserve">Waterkracht B.V. handbook platform · AEL deliverable, week 3</w:t>
      </w:r>
    </w:p>
    <w:p>
      <w:pPr>
        <w:spacing w:after="300"/>
      </w:pPr>
      <w:r>
        <w:rPr>
          <w:rFonts w:ascii="Calibri" w:cs="Calibri" w:eastAsia="Calibri" w:hAnsi="Calibri"/>
          <w:b/>
          <w:bCs/>
          <w:color w:val="C00000"/>
          <w:sz w:val="20"/>
          <w:szCs w:val="20"/>
        </w:rPr>
        <w:t xml:space="preserve">DRAFT — not yet reviewed by the team or submitted · prepared by Kyran Weijman, with Claude · 2026-10-19</w:t>
      </w:r>
    </w:p>
    <w:p>
      <w:pPr>
        <w:pStyle w:val="Heading2"/>
        <w:spacing w:after="120" w:before="240"/>
      </w:pPr>
      <w:r>
        <w:t xml:space="preserve">Purpose and provenance</w:t>
      </w:r>
    </w:p>
    <w:p>
      <w:pPr>
        <w:spacing w:after="160"/>
      </w:pPr>
      <w:r>
        <w:rPr>
          <w:rFonts w:ascii="Calibri" w:cs="Calibri" w:eastAsia="Calibri" w:hAnsi="Calibri"/>
          <w:b w:val="false"/>
          <w:bCs w:val="false"/>
          <w:i w:val="false"/>
          <w:iCs w:val="false"/>
          <w:sz w:val="22"/>
          <w:szCs w:val="22"/>
        </w:rPr>
        <w:t xml:space="preserve">This document answers the five questions the course's week-3 assignment asks of a Knowledge Architecture: what the platform has to know, where that knowledge lives and how it is found again, why that storage choice and not an alternative, where the confidentiality line sits and what mechanism enforces it, and the open questions the Socratic tutor raised about the blueprint. It also opens the Decision log (separate document) that the course asks every team to start this week.</w:t>
      </w:r>
    </w:p>
    <w:p>
      <w:pPr>
        <w:spacing w:after="160"/>
      </w:pPr>
      <w:r>
        <w:rPr>
          <w:rFonts w:ascii="Calibri" w:cs="Calibri" w:eastAsia="Calibri" w:hAnsi="Calibri"/>
          <w:b w:val="false"/>
          <w:bCs w:val="false"/>
          <w:i w:val="false"/>
          <w:iCs w:val="false"/>
          <w:sz w:val="22"/>
          <w:szCs w:val="22"/>
        </w:rPr>
        <w:t xml:space="preserve">Everything below is drawn from documents and code that already exist in this project: the architectural blueprint v1.0 (2026-09-14), the PRD (week 2 and week 3), Kyran's week 3 portfolio (which records the real tutor questions and his answers to them), and the two working demo scripts (handbook_demo.py / handbook_demo_codex.py) as they stand on 2026-10-19. Nothing here is invented to fill a gap — where the real answer is "not built yet" or "not decided yet", that is what this document says, and it is flagged for the Decision log.</w:t>
      </w:r>
    </w:p>
    <w:p>
      <w:pPr>
        <w:pStyle w:val="Heading1"/>
        <w:spacing w:after="160" w:before="360"/>
      </w:pPr>
      <w:r>
        <w:t xml:space="preserve">1. What the platform has to know</w:t>
      </w:r>
    </w:p>
    <w:p>
      <w:pPr>
        <w:spacing w:after="160"/>
      </w:pPr>
      <w:r>
        <w:rPr>
          <w:rFonts w:ascii="Calibri" w:cs="Calibri" w:eastAsia="Calibri" w:hAnsi="Calibri"/>
          <w:b w:val="false"/>
          <w:bCs w:val="false"/>
          <w:i w:val="false"/>
          <w:iCs w:val="false"/>
          <w:sz w:val="22"/>
          <w:szCs w:val="22"/>
        </w:rPr>
        <w:t xml:space="preserve">The blueprint (§2) defines two data structures that carry everything the pipeline needs: source_record (one per collected source) and page_bundle (one per handbook page). Table 1 lists the kinds of knowledge the platform holds, where each originates, and which field or file carries 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00"/>
      </w:tblGrid>
      <w:tr>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Knowledge type</w:t>
            </w:r>
          </w:p>
        </w:tc>
        <w:tc>
          <w:tcPr>
            <w:tcW w:type="dxa" w:w="23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Origin</w:t>
            </w:r>
          </w:p>
        </w:tc>
        <w:tc>
          <w:tcPr>
            <w:tcW w:type="dxa" w:w="23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Carried as</w:t>
            </w:r>
          </w:p>
        </w:tc>
        <w:tc>
          <w:tcPr>
            <w:tcW w:type="dxa" w:w="2700"/>
            <w:shd w:fill="1F3864" w:color="auto" w:val="clear"/>
            <w:tcMar>
              <w:top w:type="dxa" w:w="80"/>
              <w:left w:type="dxa" w:w="100"/>
              <w:bottom w:type="dxa" w:w="80"/>
              <w:right w:type="dxa" w:w="100"/>
            </w:tcMar>
          </w:tcPr>
          <w:p>
            <w:r>
              <w:rPr>
                <w:rFonts w:ascii="Calibri" w:cs="Calibri" w:eastAsia="Calibri" w:hAnsi="Calibri"/>
                <w:b/>
                <w:bCs/>
                <w:color w:val="FFFFFF"/>
                <w:sz w:val="20"/>
                <w:szCs w:val="20"/>
              </w:rPr>
              <w:t xml:space="preserve">Example / note</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Research question for the week's page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Researcher, typed at Intake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topic argument to the CLI; slugified into the wiki filename</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"What should a Dutch technical SME consider before starting its first AI pilot?"</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Raw source text (Dutch or English)</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Collector — search, upload, or manual file/URL</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source_record.raw_text / original_file_path, saved under raw/&lt;kind&gt;/&lt;id&gt;.txt</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Original is never deleted or overwritten (blueprint §2, §5)</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Source credibility (AAOCC)</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Appraiser, scored against the Context file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source_record.appraisal {authority, accuracy, objectivity, currency, coverage, decision}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Implemented in code as evaluate_source() / aaocc_gate_verdict()</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Dutch→English translation</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Translator, only for sources marked "use"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source_record.translated_text</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Dutch original stays attached and untouched</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Synthesised page content</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Analyst, from appraised/translated sources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page_bundle: draft.md</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write_draft() in the demo scripts</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Claim-to-source links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Analyst</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page_bundle: claim_register.json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As of 2026-10-19: each entry carries a verbatim quote, checked by verify_claim_register() against the real saved source text (EXACT/CLOSE/NOT FOUND) — not just a page/source-level link. See Decision log, 2026-10-19.</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Page-quality self-score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Analyst, against clarity/relevance/usefulness/ease-of-understanding</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page_bundle: quality_report.json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score_draft_quality() / content_gate_verdict()</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Human review decision</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Researcher, reading the draft beside the sources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page_bundle.status: DRAFT | APPROVED | REJECTED</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No automated path around this gate, by design</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Company and sector context (Waterkracht profile, audience definition, hard requirements)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PRD, Strategies and criteria.docx</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Context file (blueprint Part 0); PROJECT_CONTEXT constant in the demo scripts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Re-read by every part so nothing runs against a stale copy</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Confidentiality status of a source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Collector, at the moment a source enters the pipeline</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source_record.confidential (true/false) — named in the blueprint, §3–§4</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Not yet implemented in code — see §4 below</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Protected terms (must not be mistranslated)</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Researcher-maintained list</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protected_terms.txt next to the script (e.g. "Waterkracht")</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Implemented; a naming-accuracy safeguard, not a confidentiality safeguard — see §4</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Interview material (field research)</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Researcher, from Waterkracht conversations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Not yet entering the pipeline — interviewgids Waterkracht AI.docx exists as a guide, no interview transcript has been processed yet</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Flagged as not yet exercised — see Decision log</w:t>
            </w:r>
          </w:p>
        </w:tc>
      </w:tr>
    </w:tbl>
    <w:p>
      <w:pPr>
        <w:pStyle w:val="Heading1"/>
        <w:spacing w:after="160" w:before="360"/>
      </w:pPr>
      <w:r>
        <w:t xml:space="preserve">2. Where it lives and how it is found again</w:t>
      </w:r>
    </w:p>
    <w:p>
      <w:pPr>
        <w:spacing w:after="160"/>
      </w:pPr>
      <w:r>
        <w:rPr>
          <w:rFonts w:ascii="Calibri" w:cs="Calibri" w:eastAsia="Calibri" w:hAnsi="Calibri"/>
          <w:b w:val="false"/>
          <w:bCs w:val="false"/>
          <w:i w:val="false"/>
          <w:iCs w:val="false"/>
          <w:sz w:val="22"/>
          <w:szCs w:val="22"/>
        </w:rPr>
        <w:t xml:space="preserve">The platform's local store is three plain-file structures next to the script, not a database:</w:t>
      </w:r>
    </w:p>
    <w:p>
      <w:pPr>
        <w:pStyle w:val="ListParagraph"/>
        <w:numPr>
          <w:ilvl w:val="0"/>
          <w:numId w:val="2"/>
        </w:numPr>
        <w:spacing w:after="100"/>
      </w:pPr>
      <w:r>
        <w:rPr>
          <w:rFonts w:ascii="Calibri" w:cs="Calibri" w:eastAsia="Calibri" w:hAnsi="Calibri"/>
          <w:sz w:val="22"/>
          <w:szCs w:val="22"/>
        </w:rPr>
        <w:t xml:space="preserve">raw/&lt;kind&gt;/&lt;id&gt;.txt + &lt;id&gt;.json — every source ever collected, one pair per source, id = a short hash of its URL or filename (save_raw() / source_id()).</w:t>
      </w:r>
    </w:p>
    <w:p>
      <w:pPr>
        <w:pStyle w:val="ListParagraph"/>
        <w:numPr>
          <w:ilvl w:val="0"/>
          <w:numId w:val="2"/>
        </w:numPr>
        <w:spacing w:after="100"/>
      </w:pPr>
      <w:r>
        <w:rPr>
          <w:rFonts w:ascii="Calibri" w:cs="Calibri" w:eastAsia="Calibri" w:hAnsi="Calibri"/>
          <w:sz w:val="22"/>
          <w:szCs w:val="22"/>
        </w:rPr>
        <w:t xml:space="preserve">wiki/&lt;slug&gt;.md — one synthesised knowledge page per topic, with a YAML frontmatter (topic, confidence, updated, sources, status) — this is the same page that gets published to the real wiki once approved (save_wiki_page()).</w:t>
      </w:r>
    </w:p>
    <w:p>
      <w:pPr>
        <w:pStyle w:val="ListParagraph"/>
        <w:numPr>
          <w:ilvl w:val="0"/>
          <w:numId w:val="2"/>
        </w:numPr>
        <w:spacing w:after="100"/>
      </w:pPr>
      <w:r>
        <w:rPr>
          <w:rFonts w:ascii="Calibri" w:cs="Calibri" w:eastAsia="Calibri" w:hAnsi="Calibri"/>
          <w:sz w:val="22"/>
          <w:szCs w:val="22"/>
        </w:rPr>
        <w:t xml:space="preserve">wiki/index.md — a human-readable list of every page, so a page is never found only by guessing its filename.</w:t>
      </w:r>
    </w:p>
    <w:p>
      <w:pPr>
        <w:pStyle w:val="ListParagraph"/>
        <w:numPr>
          <w:ilvl w:val="0"/>
          <w:numId w:val="2"/>
        </w:numPr>
        <w:spacing w:after="100"/>
      </w:pPr>
      <w:r>
        <w:rPr>
          <w:rFonts w:ascii="Calibri" w:cs="Calibri" w:eastAsia="Calibri" w:hAnsi="Calibri"/>
          <w:sz w:val="22"/>
          <w:szCs w:val="22"/>
        </w:rPr>
        <w:t xml:space="preserve">lookup_log.jsonl — one line per lookup ever run, recording what was asked and what was returned.</w:t>
      </w:r>
    </w:p>
    <w:p>
      <w:pPr>
        <w:spacing w:after="160"/>
      </w:pPr>
      <w:r>
        <w:rPr>
          <w:rFonts w:ascii="Calibri" w:cs="Calibri" w:eastAsia="Calibri" w:hAnsi="Calibri"/>
          <w:b w:val="false"/>
          <w:bCs w:val="false"/>
          <w:i w:val="false"/>
          <w:iCs w:val="false"/>
          <w:sz w:val="22"/>
          <w:szCs w:val="22"/>
        </w:rPr>
        <w:t xml:space="preserve">Trace of one real question, start to answer: a researcher runs the CLI with --ask "What should a Dutch technical SME consider before starting its first AI pilot?". The platform tokenises the question into keywords (_keywords()), scores every page in wiki/index.md by keyword overlap (_keyword_score()), and returns the best-matching page(s). If the researcher then asks to see the evidence behind a specific claim on that page, find_raw_text(sid) walks raw/ for the matching id and returns the original saved text — Dutch original included, never the translation only. The answer the researcher sees is therefore always traceable back to a specific file on disk, not just a model's memory of it.</w:t>
      </w:r>
    </w:p>
    <w:p>
      <w:pPr>
        <w:pStyle w:val="Heading1"/>
        <w:spacing w:after="160" w:before="360"/>
      </w:pPr>
      <w:r>
        <w:t xml:space="preserve">3. Why this, and not an alternative</w:t>
      </w:r>
    </w:p>
    <w:p>
      <w:pPr>
        <w:spacing w:after="160"/>
      </w:pPr>
      <w:r>
        <w:rPr>
          <w:rFonts w:ascii="Calibri" w:cs="Calibri" w:eastAsia="Calibri" w:hAnsi="Calibri"/>
          <w:b w:val="false"/>
          <w:bCs w:val="false"/>
          <w:i w:val="false"/>
          <w:iCs w:val="false"/>
          <w:sz w:val="22"/>
          <w:szCs w:val="22"/>
        </w:rPr>
        <w:t xml:space="preserve">Alternative weighed: a small embedded database (e.g. SQLite) instead of flat text/markdown files, which would give faster and more accurate retrieval than keyword matching once the store grows large.</w:t>
      </w:r>
    </w:p>
    <w:p>
      <w:pPr>
        <w:spacing w:after="160"/>
      </w:pPr>
      <w:r>
        <w:rPr>
          <w:rFonts w:ascii="Calibri" w:cs="Calibri" w:eastAsia="Calibri" w:hAnsi="Calibri"/>
          <w:b w:val="false"/>
          <w:bCs w:val="false"/>
          <w:i w:val="false"/>
          <w:iCs w:val="false"/>
          <w:sz w:val="22"/>
          <w:szCs w:val="22"/>
        </w:rPr>
        <w:t xml:space="preserve">Chosen instead: flat files (raw/, wiki/, .jsonl logs), because two PRD promises take priority over retrieval speed at the platform's current size: the CLI must stay operable by a non-programmer (PRD §6) — a researcher can open, read, and hand-edit a .md or .txt file directly as a manual fallback (blueprint §1, right-hand column, every part), which is not true of a database file; and the project may add no new infrastructure beyond the existing wiki (PRD §7 scope limit) — flat files need no server, driver, or schema migration to install or maintain.</w:t>
      </w:r>
    </w:p>
    <w:p>
      <w:pPr>
        <w:spacing w:after="160"/>
      </w:pPr>
      <w:r>
        <w:rPr>
          <w:rFonts w:ascii="Calibri" w:cs="Calibri" w:eastAsia="Calibri" w:hAnsi="Calibri"/>
          <w:b/>
          <w:bCs/>
          <w:sz w:val="22"/>
          <w:szCs w:val="22"/>
        </w:rPr>
        <w:t xml:space="preserve">Switch trigger: </w:t>
      </w:r>
      <w:r>
        <w:rPr>
          <w:rFonts w:ascii="Calibri" w:cs="Calibri" w:eastAsia="Calibri" w:hAnsi="Calibri"/>
          <w:sz w:val="22"/>
          <w:szCs w:val="22"/>
        </w:rPr>
        <w:t xml:space="preserve">move part or all of the store to an embedded database when either (a) the number of wiki pages or raw sources grows large enough that keyword-overlap retrieval starts returning the wrong page for a plausible question, or (b) more than one researcher needs to write to the store at the same time and file-level collisions start happening. Until then, flat files are kept as the source of truth even if a database is added, so the manual-fallback promise is not lost.</w:t>
      </w:r>
    </w:p>
    <w:p>
      <w:pPr>
        <w:pStyle w:val="Heading1"/>
        <w:spacing w:after="160" w:before="360"/>
      </w:pPr>
      <w:r>
        <w:t xml:space="preserve">4. The line kept — confidentiality</w:t>
      </w:r>
    </w:p>
    <w:p>
      <w:pPr>
        <w:spacing w:after="160"/>
      </w:pPr>
      <w:r>
        <w:rPr>
          <w:rFonts w:ascii="Calibri" w:cs="Calibri" w:eastAsia="Calibri" w:hAnsi="Calibri"/>
          <w:b w:val="false"/>
          <w:bCs w:val="false"/>
          <w:i w:val="false"/>
          <w:iCs w:val="false"/>
          <w:sz w:val="22"/>
          <w:szCs w:val="22"/>
        </w:rPr>
        <w:t xml:space="preserve">What the blueprint requires (§3–§4): every source_record carries a confidential flag, set once by the Collector. Before the Appraiser, Translator, or Analyst makes any external model-service call, it must check that flag; if confidential = true, processing stops before the call, and a researcher must redact the material, write an approved non-confidential summary, or handle it manually before it can continue.</w:t>
      </w:r>
    </w:p>
    <w:p>
      <w:pPr>
        <w:spacing w:after="160"/>
      </w:pPr>
      <w:r>
        <w:rPr>
          <w:rFonts w:ascii="Calibri" w:cs="Calibri" w:eastAsia="Calibri" w:hAnsi="Calibri"/>
          <w:b/>
          <w:bCs/>
          <w:color w:val="C00000"/>
          <w:sz w:val="22"/>
          <w:szCs w:val="22"/>
        </w:rPr>
        <w:t xml:space="preserve">Honest status as of 2026-10-19: </w:t>
      </w:r>
      <w:r>
        <w:rPr>
          <w:rFonts w:ascii="Calibri" w:cs="Calibri" w:eastAsia="Calibri" w:hAnsi="Calibri"/>
          <w:sz w:val="22"/>
          <w:szCs w:val="22"/>
        </w:rPr>
        <w:t xml:space="preserve">this flag and this check do not exist in the demo scripts yet. No source_record in the current code carries a confidential field, and no pipeline function checks one before calling the model. This is a real gap between the blueprint and the build, not a documentation oversight.</w:t>
      </w:r>
    </w:p>
    <w:p>
      <w:pPr>
        <w:spacing w:after="160"/>
      </w:pPr>
      <w:r>
        <w:rPr>
          <w:rFonts w:ascii="Calibri" w:cs="Calibri" w:eastAsia="Calibri" w:hAnsi="Calibri"/>
          <w:b w:val="false"/>
          <w:bCs w:val="false"/>
          <w:i w:val="false"/>
          <w:iCs w:val="false"/>
          <w:sz w:val="22"/>
          <w:szCs w:val="22"/>
        </w:rPr>
        <w:t xml:space="preserve">What does exist today, and is sometimes mistaken for this mechanism, is protected_terms.txt — a list of names (currently just "Waterkracht") that the model is instructed never to mistranslate or genericise (e.g. never turn "Waterkracht" into "hydropower"). That protects naming accuracy. It does not stop confidential content from reaching the model — a confidential sentence containing the word "Waterkracht" would still be sent, correctly spelled.</w:t>
      </w:r>
    </w:p>
    <w:p>
      <w:pPr>
        <w:spacing w:after="160"/>
      </w:pPr>
      <w:r>
        <w:rPr>
          <w:rFonts w:ascii="Calibri" w:cs="Calibri" w:eastAsia="Calibri" w:hAnsi="Calibri"/>
          <w:b w:val="false"/>
          <w:bCs w:val="false"/>
          <w:i w:val="false"/>
          <w:iCs w:val="false"/>
          <w:sz w:val="22"/>
          <w:szCs w:val="22"/>
        </w:rPr>
        <w:t xml:space="preserve">This gap is carried forward as an open item in the Decision log and in the Build Plan's next phase (adding a confidential boolean to source records, checked before every evaluate_source() / translate / write_draft call that reaches the model, with the same redact-or-summarise-or-go-manual fallback the blueprint already specifies).</w:t>
      </w:r>
    </w:p>
    <w:p>
      <w:pPr>
        <w:pStyle w:val="Heading1"/>
        <w:spacing w:after="160" w:before="360"/>
      </w:pPr>
      <w:r>
        <w:t xml:space="preserve">5. Open questions — the Socratic tutor's questions about the blueprint, answered</w:t>
      </w:r>
    </w:p>
    <w:p>
      <w:pPr>
        <w:spacing w:after="160"/>
      </w:pPr>
      <w:r>
        <w:rPr>
          <w:rFonts w:ascii="Calibri" w:cs="Calibri" w:eastAsia="Calibri" w:hAnsi="Calibri"/>
          <w:b w:val="false"/>
          <w:bCs w:val="false"/>
          <w:i w:val="false"/>
          <w:iCs w:val="false"/>
          <w:sz w:val="22"/>
          <w:szCs w:val="22"/>
        </w:rPr>
        <w:t xml:space="preserve">These are the five questions the AI tutor raised about the architectural blueprint, and the answers the team gave in week 3 (Kyran's portfolio), carried here so the architecture record is self-contained.</w:t>
      </w:r>
    </w:p>
    <w:p>
      <w:pPr>
        <w:spacing w:after="160"/>
      </w:pPr>
      <w:r>
        <w:rPr>
          <w:rFonts w:ascii="Calibri" w:cs="Calibri" w:eastAsia="Calibri" w:hAnsi="Calibri"/>
          <w:b/>
          <w:bCs/>
          <w:sz w:val="22"/>
          <w:szCs w:val="22"/>
        </w:rPr>
        <w:t xml:space="preserve">1. Is every assumption grounded in a source? </w:t>
      </w:r>
      <w:r>
        <w:rPr>
          <w:rFonts w:ascii="Calibri" w:cs="Calibri" w:eastAsia="Calibri" w:hAnsi="Calibri"/>
          <w:sz w:val="22"/>
          <w:szCs w:val="22"/>
        </w:rPr>
        <w:t xml:space="preserve">Checked — one assumption had no source attached at the time; a source has since been added for it.</w:t>
      </w:r>
    </w:p>
    <w:p>
      <w:pPr>
        <w:spacing w:after="160"/>
      </w:pPr>
      <w:r>
        <w:rPr>
          <w:rFonts w:ascii="Calibri" w:cs="Calibri" w:eastAsia="Calibri" w:hAnsi="Calibri"/>
          <w:b/>
          <w:bCs/>
          <w:sz w:val="22"/>
          <w:szCs w:val="22"/>
        </w:rPr>
        <w:t xml:space="preserve">2. How do the two criteria sets relate (AAOCC vs. the handbook-page criteria)? </w:t>
      </w:r>
      <w:r>
        <w:rPr>
          <w:rFonts w:ascii="Calibri" w:cs="Calibri" w:eastAsia="Calibri" w:hAnsi="Calibri"/>
          <w:sz w:val="22"/>
          <w:szCs w:val="22"/>
        </w:rPr>
        <w:t xml:space="preserve">They measure different things, not the same thing twice: AAOCC (authority, accuracy, objectivity, currency, coverage) validates how good a source is, before it is used; the four handbook-page criteria (clarity, relevance, usefulness, ease of understanding) validate how good the finished article is, after it is written. This is implemented as two separate functions in code, aaocc_gate_verdict() and content_gate_verdict(), so the two scores are never averaged together.</w:t>
      </w:r>
    </w:p>
    <w:p>
      <w:pPr>
        <w:spacing w:after="160"/>
      </w:pPr>
      <w:r>
        <w:rPr>
          <w:rFonts w:ascii="Calibri" w:cs="Calibri" w:eastAsia="Calibri" w:hAnsi="Calibri"/>
          <w:b/>
          <w:bCs/>
          <w:sz w:val="22"/>
          <w:szCs w:val="22"/>
        </w:rPr>
        <w:t xml:space="preserve">3. Which pipeline component makes which model-service call, and what are they called? </w:t>
      </w:r>
      <w:r>
        <w:rPr>
          <w:rFonts w:ascii="Calibri" w:cs="Calibri" w:eastAsia="Calibri" w:hAnsi="Calibri"/>
          <w:sz w:val="22"/>
          <w:szCs w:val="22"/>
        </w:rPr>
        <w:t xml:space="preserve">Answered in §3 of the blueprint (the model-service-boundary table): Appraiser, Translator and Analyst are the three components that call an external model; Context, Intake, Collector, Human Review and Publisher do not. The specific model/provider is still TBD (see Decision log, open item) — Kyran's week-3 note that this needed more company information is why it is still open rather than answered with a guess.</w:t>
      </w:r>
    </w:p>
    <w:p>
      <w:pPr>
        <w:spacing w:after="160"/>
      </w:pPr>
      <w:r>
        <w:rPr>
          <w:rFonts w:ascii="Calibri" w:cs="Calibri" w:eastAsia="Calibri" w:hAnsi="Calibri"/>
          <w:b/>
          <w:bCs/>
          <w:sz w:val="22"/>
          <w:szCs w:val="22"/>
        </w:rPr>
        <w:t xml:space="preserve">4. What is the single most important capability the demo must show? </w:t>
      </w:r>
      <w:r>
        <w:rPr>
          <w:rFonts w:ascii="Calibri" w:cs="Calibri" w:eastAsia="Calibri" w:hAnsi="Calibri"/>
          <w:sz w:val="22"/>
          <w:szCs w:val="22"/>
        </w:rPr>
        <w:t xml:space="preserve">Quoted directly from the week-3 portfolio: "that the AI agents are able to use the criteria to validate itself on the output so that can be used in the future to better the result." This is the self-scoring/gate loop — now extended by the mandatory revision pass tested on 2026-10-19 (a draft that fails the quality gate is automatically revised once and re-scored, not just flagged).</w:t>
      </w:r>
    </w:p>
    <w:p>
      <w:pPr>
        <w:spacing w:after="160"/>
      </w:pPr>
      <w:r>
        <w:rPr>
          <w:rFonts w:ascii="Calibri" w:cs="Calibri" w:eastAsia="Calibri" w:hAnsi="Calibri"/>
          <w:b/>
          <w:bCs/>
          <w:sz w:val="22"/>
          <w:szCs w:val="22"/>
        </w:rPr>
        <w:t xml:space="preserve">5. What are the student-researcher roles, and their weekly tasks? </w:t>
      </w:r>
      <w:r>
        <w:rPr>
          <w:rFonts w:ascii="Calibri" w:cs="Calibri" w:eastAsia="Calibri" w:hAnsi="Calibri"/>
          <w:sz w:val="22"/>
          <w:szCs w:val="22"/>
        </w:rPr>
        <w:t xml:space="preserve">Treated as illustrative examples of how the platform gets used, not fixed job titles — the PRD (week 3) Appendix 1 names four: Research Lead, Source Researcher, Evidence Reviewer, Content Reviewer/Editor, each mapped to which pipeline part it uses. The platform should support any of these roles while keeping the researcher in control of, and accountable for, the delivered work.</w:t>
      </w:r>
    </w:p>
    <w:p>
      <w:pPr>
        <w:pStyle w:val="Heading1"/>
        <w:spacing w:after="160" w:before="360"/>
      </w:pPr>
      <w:r>
        <w:t xml:space="preserve">Decision-log pointer</w:t>
      </w:r>
    </w:p>
    <w:p>
      <w:pPr>
        <w:spacing w:after="160"/>
      </w:pPr>
      <w:r>
        <w:rPr>
          <w:rFonts w:ascii="Calibri" w:cs="Calibri" w:eastAsia="Calibri" w:hAnsi="Calibri"/>
          <w:b w:val="false"/>
          <w:bCs w:val="false"/>
          <w:i w:val="false"/>
          <w:iCs w:val="false"/>
          <w:sz w:val="22"/>
          <w:szCs w:val="22"/>
        </w:rPr>
        <w:t xml:space="preserve">This document produces entries in the Decision log (separate document, covering every choice made since week 3): the storage-shape decision in §3 above (flat files over a database, with its switch trigger); the decision to treat the already-built local wiki/raw store plus its public GitHub Pages site as this project's adopted LLM wiki, which is why this Knowledge Architecture is itself versioned below; and the confidentiality-gate gap named honestly in §4, carried forward as an open, unresolved item rather than silently left out. See the Decision log document for the full dated list.</w:t>
      </w:r>
    </w:p>
    <w:p>
      <w:pPr>
        <w:pBdr>
          <w:top w:val="single" w:color="999999" w:sz="6" w:space="1"/>
        </w:pBdr>
        <w:spacing w:before="400"/>
      </w:pPr>
      <w:r>
        <w:rPr>
          <w:rFonts w:ascii="Calibri" w:cs="Calibri" w:eastAsia="Calibri" w:hAnsi="Calibri"/>
          <w:i/>
          <w:iCs/>
          <w:color w:val="777777"/>
          <w:sz w:val="18"/>
          <w:szCs w:val="18"/>
        </w:rPr>
        <w:t xml:space="preserve">Version 1.0 · 2026-10-19 · prepared from the architectural blueprint v1.0, the PRD (week 2 and week 3), and Kyran Weijman's week 3 portfolio. Adopts the existing local wiki/raw store and its public GitHub Pages site (live since 2026-10-19) as the project's LLM wiki, per the decision-log rule that doing so gives this document a new version and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2026-10-19T16:33:33.936Z</dcterms:created>
  <dcterms:modified xsi:type="dcterms:W3CDTF">2026-10-19T16:33:33.937Z</dcterms:modified>
</cp:coreProperties>
</file>

<file path=docProps/custom.xml><?xml version="1.0" encoding="utf-8"?>
<Properties xmlns="http://schemas.openxmlformats.org/officeDocument/2006/custom-properties" xmlns:vt="http://schemas.openxmlformats.org/officeDocument/2006/docPropsVTypes"/>
</file>