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5577" w14:textId="77777777" w:rsidR="003844E7" w:rsidRDefault="005407D8">
      <w:pPr>
        <w:pStyle w:val="Titel"/>
        <w:jc w:val="center"/>
      </w:pPr>
      <w:r>
        <w:rPr>
          <w:b/>
        </w:rPr>
        <w:t>TeleConX Customer Churn</w:t>
      </w:r>
    </w:p>
    <w:p w14:paraId="0AA86E21" w14:textId="77777777" w:rsidR="003844E7" w:rsidRDefault="005407D8">
      <w:pPr>
        <w:jc w:val="center"/>
      </w:pPr>
      <w:r>
        <w:rPr>
          <w:i/>
          <w:sz w:val="28"/>
        </w:rPr>
        <w:t>A Data Science for Business Case</w:t>
      </w:r>
    </w:p>
    <w:p w14:paraId="7A95AECB" w14:textId="77777777" w:rsidR="003844E7" w:rsidRDefault="005407D8">
      <w:r>
        <w:t>TeleConX is a fictional subscription-based telecommunications company. The case is designed to accompany the Week 1–3 CRISP-DM churn exercises. Your role is not simply to build a prediction model. You are advising management on how data can support a better customer-retention decision.</w:t>
      </w:r>
    </w:p>
    <w:p w14:paraId="5B5F9489" w14:textId="77777777" w:rsidR="003844E7" w:rsidRDefault="005407D8">
      <w:pPr>
        <w:pStyle w:val="Kop1"/>
      </w:pPr>
      <w:r>
        <w:t>1. The business situation</w:t>
      </w:r>
    </w:p>
    <w:p w14:paraId="7CD23018" w14:textId="77777777" w:rsidR="003844E7" w:rsidRDefault="005407D8">
      <w:r>
        <w:t>TeleConX provides telecommunications services to customers on different contract arrangements. Management is concerned about customers cancelling their service. Losing a customer can mean lost future revenue, additional acquisition costs to replace that customer, and pressure on growth targets.</w:t>
      </w:r>
    </w:p>
    <w:p w14:paraId="268C113D" w14:textId="77777777" w:rsidR="003844E7" w:rsidRDefault="005407D8">
      <w:r>
        <w:t>The retention team can contact customers, offer service support, or provide retention incentives. These actions are not free. Contacting customers who were never likely to leave wastes staff time and budget, while offering unnecessary discounts can reduce margin. At the same time, failing to identify a genuinely high-risk customer may mean losing a customer who could potentially have been retained.</w:t>
      </w:r>
    </w:p>
    <w:p w14:paraId="667E2933" w14:textId="77777777" w:rsidR="003844E7" w:rsidRDefault="005407D8">
      <w:pPr>
        <w:pStyle w:val="Kop1"/>
      </w:pPr>
      <w:r>
        <w:t>2. The management decision</w:t>
      </w:r>
    </w:p>
    <w:p w14:paraId="10FF73C7" w14:textId="77777777" w:rsidR="003844E7" w:rsidRDefault="005407D8">
      <w:pPr>
        <w:jc w:val="center"/>
      </w:pPr>
      <w:r>
        <w:rPr>
          <w:b/>
          <w:sz w:val="30"/>
        </w:rPr>
        <w:t>Which customers warrant retention attention before they cancel?</w:t>
      </w:r>
    </w:p>
    <w:p w14:paraId="33096280" w14:textId="77777777" w:rsidR="003844E7" w:rsidRDefault="005407D8">
      <w:r>
        <w:t>This is the central decision throughout the case. Notice that it is different from simply asking, “Can we predict churn?” A prediction only becomes useful when it helps somebody decide what to do.</w:t>
      </w:r>
    </w:p>
    <w:p w14:paraId="0A148DBD" w14:textId="77777777" w:rsidR="003844E7" w:rsidRDefault="005407D8">
      <w:pPr>
        <w:pStyle w:val="Kop1"/>
      </w:pPr>
      <w:r>
        <w:t>3. Your role</w:t>
      </w:r>
    </w:p>
    <w:p w14:paraId="518E38D7" w14:textId="77777777" w:rsidR="003844E7" w:rsidRDefault="005407D8">
      <w:r>
        <w:t>You are part of a small analytics team supporting the Customer Retention Manager. Management has supplied historical customer data and wants you to determine whether it can be used to support retention decisions.</w:t>
      </w:r>
    </w:p>
    <w:p w14:paraId="58277E40" w14:textId="77777777" w:rsidR="003844E7" w:rsidRDefault="005407D8">
      <w:pPr>
        <w:pStyle w:val="Lijstopsomteken"/>
      </w:pPr>
      <w:r>
        <w:t>Understand the business problem before analysing the data.</w:t>
      </w:r>
    </w:p>
    <w:p w14:paraId="7E233789" w14:textId="77777777" w:rsidR="003844E7" w:rsidRDefault="005407D8">
      <w:pPr>
        <w:pStyle w:val="Lijstopsomteken"/>
      </w:pPr>
      <w:r>
        <w:t>Determine whether the available data is suitable for the decision.</w:t>
      </w:r>
    </w:p>
    <w:p w14:paraId="28167E41" w14:textId="77777777" w:rsidR="003844E7" w:rsidRDefault="005407D8">
      <w:pPr>
        <w:pStyle w:val="Lijstopsomteken"/>
      </w:pPr>
      <w:r>
        <w:t>Identify and justify necessary data-preparation choices.</w:t>
      </w:r>
    </w:p>
    <w:p w14:paraId="01F64448" w14:textId="77777777" w:rsidR="003844E7" w:rsidRDefault="005407D8">
      <w:pPr>
        <w:pStyle w:val="Lijstopsomteken"/>
      </w:pPr>
      <w:r>
        <w:t>Develop a simple analytical model that estimates churn risk.</w:t>
      </w:r>
    </w:p>
    <w:p w14:paraId="5FA62844" w14:textId="77777777" w:rsidR="003844E7" w:rsidRDefault="005407D8">
      <w:pPr>
        <w:pStyle w:val="Lijstopsomteken"/>
      </w:pPr>
      <w:r>
        <w:t>Evaluate model errors in terms of business consequences, not only technical metrics.</w:t>
      </w:r>
    </w:p>
    <w:p w14:paraId="046395B2" w14:textId="77777777" w:rsidR="003844E7" w:rsidRDefault="005407D8">
      <w:pPr>
        <w:pStyle w:val="Lijstopsomteken"/>
      </w:pPr>
      <w:r>
        <w:t>Recommend how the analysis could be used, monitored and improved in practice.</w:t>
      </w:r>
    </w:p>
    <w:p w14:paraId="7B7281BC" w14:textId="77777777" w:rsidR="003844E7" w:rsidRDefault="005407D8">
      <w:pPr>
        <w:pStyle w:val="Kop1"/>
      </w:pPr>
      <w:r>
        <w:t>4. The data supplied</w:t>
      </w:r>
    </w:p>
    <w:p w14:paraId="72E812B6" w14:textId="77777777" w:rsidR="003844E7" w:rsidRDefault="005407D8">
      <w:r>
        <w:t>Each row represents one customer. The teaching dataset contains customer characteristics and a binary churn outcome. It also contains a small number of deliberate data-quality problems so that you must make and defend preparation decisions.</w:t>
      </w:r>
    </w:p>
    <w:tbl>
      <w:tblPr>
        <w:tblStyle w:val="Tabelraster"/>
        <w:tblW w:w="0" w:type="auto"/>
        <w:tblLook w:val="04A0" w:firstRow="1" w:lastRow="0" w:firstColumn="1" w:lastColumn="0" w:noHBand="0" w:noVBand="1"/>
      </w:tblPr>
      <w:tblGrid>
        <w:gridCol w:w="3360"/>
        <w:gridCol w:w="3360"/>
        <w:gridCol w:w="3360"/>
      </w:tblGrid>
      <w:tr w:rsidR="003844E7" w14:paraId="5FBD1507" w14:textId="77777777">
        <w:tc>
          <w:tcPr>
            <w:tcW w:w="3360" w:type="dxa"/>
          </w:tcPr>
          <w:p w14:paraId="4C22D56A" w14:textId="77777777" w:rsidR="003844E7" w:rsidRDefault="005407D8">
            <w:r>
              <w:t>Variable</w:t>
            </w:r>
          </w:p>
        </w:tc>
        <w:tc>
          <w:tcPr>
            <w:tcW w:w="3360" w:type="dxa"/>
          </w:tcPr>
          <w:p w14:paraId="6F6222BD" w14:textId="77777777" w:rsidR="003844E7" w:rsidRDefault="005407D8">
            <w:r>
              <w:t>Meaning</w:t>
            </w:r>
          </w:p>
        </w:tc>
        <w:tc>
          <w:tcPr>
            <w:tcW w:w="3360" w:type="dxa"/>
          </w:tcPr>
          <w:p w14:paraId="22DBA7B2" w14:textId="77777777" w:rsidR="003844E7" w:rsidRDefault="005407D8">
            <w:r>
              <w:t>Why it may matter</w:t>
            </w:r>
          </w:p>
        </w:tc>
      </w:tr>
      <w:tr w:rsidR="003844E7" w14:paraId="1A97CFBE" w14:textId="77777777">
        <w:tc>
          <w:tcPr>
            <w:tcW w:w="3360" w:type="dxa"/>
          </w:tcPr>
          <w:p w14:paraId="73DCA4AD" w14:textId="77777777" w:rsidR="003844E7" w:rsidRDefault="005407D8">
            <w:r>
              <w:t>customer_id</w:t>
            </w:r>
          </w:p>
        </w:tc>
        <w:tc>
          <w:tcPr>
            <w:tcW w:w="3360" w:type="dxa"/>
          </w:tcPr>
          <w:p w14:paraId="72A679B4" w14:textId="77777777" w:rsidR="003844E7" w:rsidRDefault="005407D8">
            <w:r>
              <w:t>Unique customer identifier</w:t>
            </w:r>
          </w:p>
        </w:tc>
        <w:tc>
          <w:tcPr>
            <w:tcW w:w="3360" w:type="dxa"/>
          </w:tcPr>
          <w:p w14:paraId="7797EE24" w14:textId="77777777" w:rsidR="003844E7" w:rsidRDefault="005407D8">
            <w:r>
              <w:t xml:space="preserve">Identification only; normally not a </w:t>
            </w:r>
            <w:r>
              <w:lastRenderedPageBreak/>
              <w:t>predictive business characteristic</w:t>
            </w:r>
          </w:p>
        </w:tc>
      </w:tr>
      <w:tr w:rsidR="003844E7" w14:paraId="43130DDC" w14:textId="77777777">
        <w:tc>
          <w:tcPr>
            <w:tcW w:w="3360" w:type="dxa"/>
          </w:tcPr>
          <w:p w14:paraId="4D097ED2" w14:textId="77777777" w:rsidR="003844E7" w:rsidRDefault="005407D8">
            <w:r>
              <w:lastRenderedPageBreak/>
              <w:t>tenure_months</w:t>
            </w:r>
          </w:p>
        </w:tc>
        <w:tc>
          <w:tcPr>
            <w:tcW w:w="3360" w:type="dxa"/>
          </w:tcPr>
          <w:p w14:paraId="00530D1E" w14:textId="77777777" w:rsidR="003844E7" w:rsidRDefault="005407D8">
            <w:r>
              <w:t>How long the customer has been with TeleConX</w:t>
            </w:r>
          </w:p>
        </w:tc>
        <w:tc>
          <w:tcPr>
            <w:tcW w:w="3360" w:type="dxa"/>
          </w:tcPr>
          <w:p w14:paraId="0D2AEEAD" w14:textId="77777777" w:rsidR="003844E7" w:rsidRDefault="005407D8">
            <w:r>
              <w:t>Newer and long-standing customers may behave differently</w:t>
            </w:r>
          </w:p>
        </w:tc>
      </w:tr>
      <w:tr w:rsidR="003844E7" w14:paraId="5F3E11F5" w14:textId="77777777">
        <w:tc>
          <w:tcPr>
            <w:tcW w:w="3360" w:type="dxa"/>
          </w:tcPr>
          <w:p w14:paraId="4D077CD0" w14:textId="77777777" w:rsidR="003844E7" w:rsidRDefault="005407D8">
            <w:r>
              <w:t>monthly_charge</w:t>
            </w:r>
          </w:p>
        </w:tc>
        <w:tc>
          <w:tcPr>
            <w:tcW w:w="3360" w:type="dxa"/>
          </w:tcPr>
          <w:p w14:paraId="334C288E" w14:textId="77777777" w:rsidR="003844E7" w:rsidRDefault="005407D8">
            <w:r>
              <w:t>Customer's monthly service charge</w:t>
            </w:r>
          </w:p>
        </w:tc>
        <w:tc>
          <w:tcPr>
            <w:tcW w:w="3360" w:type="dxa"/>
          </w:tcPr>
          <w:p w14:paraId="0BBCA622" w14:textId="77777777" w:rsidR="003844E7" w:rsidRDefault="005407D8">
            <w:r>
              <w:t>Price/value perceptions may relate to churn risk</w:t>
            </w:r>
          </w:p>
        </w:tc>
      </w:tr>
      <w:tr w:rsidR="003844E7" w14:paraId="2AF35B08" w14:textId="77777777">
        <w:tc>
          <w:tcPr>
            <w:tcW w:w="3360" w:type="dxa"/>
          </w:tcPr>
          <w:p w14:paraId="6B43D944" w14:textId="77777777" w:rsidR="003844E7" w:rsidRDefault="005407D8">
            <w:r>
              <w:t>contract_type</w:t>
            </w:r>
          </w:p>
        </w:tc>
        <w:tc>
          <w:tcPr>
            <w:tcW w:w="3360" w:type="dxa"/>
          </w:tcPr>
          <w:p w14:paraId="24F2E9CF" w14:textId="77777777" w:rsidR="003844E7" w:rsidRDefault="005407D8">
            <w:r>
              <w:t>Month-to-month, one-year or two-year arrangement</w:t>
            </w:r>
          </w:p>
        </w:tc>
        <w:tc>
          <w:tcPr>
            <w:tcW w:w="3360" w:type="dxa"/>
          </w:tcPr>
          <w:p w14:paraId="16007774" w14:textId="77777777" w:rsidR="003844E7" w:rsidRDefault="005407D8">
            <w:r>
              <w:t>Commitment structure may be associated with churn</w:t>
            </w:r>
          </w:p>
        </w:tc>
      </w:tr>
      <w:tr w:rsidR="003844E7" w14:paraId="627DA1FB" w14:textId="77777777">
        <w:tc>
          <w:tcPr>
            <w:tcW w:w="3360" w:type="dxa"/>
          </w:tcPr>
          <w:p w14:paraId="54F81D18" w14:textId="77777777" w:rsidR="003844E7" w:rsidRDefault="005407D8">
            <w:r>
              <w:t>support_calls_6m</w:t>
            </w:r>
          </w:p>
        </w:tc>
        <w:tc>
          <w:tcPr>
            <w:tcW w:w="3360" w:type="dxa"/>
          </w:tcPr>
          <w:p w14:paraId="4D80FDBB" w14:textId="77777777" w:rsidR="003844E7" w:rsidRDefault="005407D8">
            <w:r>
              <w:t>Support calls during the previous six months</w:t>
            </w:r>
          </w:p>
        </w:tc>
        <w:tc>
          <w:tcPr>
            <w:tcW w:w="3360" w:type="dxa"/>
          </w:tcPr>
          <w:p w14:paraId="6892CADE" w14:textId="77777777" w:rsidR="003844E7" w:rsidRDefault="005407D8">
            <w:r>
              <w:t>Repeated problems may signal dissatisfaction</w:t>
            </w:r>
          </w:p>
        </w:tc>
      </w:tr>
      <w:tr w:rsidR="003844E7" w14:paraId="20748DB1" w14:textId="77777777">
        <w:tc>
          <w:tcPr>
            <w:tcW w:w="3360" w:type="dxa"/>
          </w:tcPr>
          <w:p w14:paraId="08BBF347" w14:textId="77777777" w:rsidR="003844E7" w:rsidRDefault="005407D8">
            <w:r>
              <w:t>internet_service</w:t>
            </w:r>
          </w:p>
        </w:tc>
        <w:tc>
          <w:tcPr>
            <w:tcW w:w="3360" w:type="dxa"/>
          </w:tcPr>
          <w:p w14:paraId="2D709D25" w14:textId="77777777" w:rsidR="003844E7" w:rsidRDefault="005407D8">
            <w:r>
              <w:t>Type of internet service</w:t>
            </w:r>
          </w:p>
        </w:tc>
        <w:tc>
          <w:tcPr>
            <w:tcW w:w="3360" w:type="dxa"/>
          </w:tcPr>
          <w:p w14:paraId="544970AD" w14:textId="77777777" w:rsidR="003844E7" w:rsidRDefault="005407D8">
            <w:r>
              <w:t>Service characteristics may relate to customer experience</w:t>
            </w:r>
          </w:p>
        </w:tc>
      </w:tr>
      <w:tr w:rsidR="003844E7" w14:paraId="1C0C4AAB" w14:textId="77777777">
        <w:tc>
          <w:tcPr>
            <w:tcW w:w="3360" w:type="dxa"/>
          </w:tcPr>
          <w:p w14:paraId="326C87E8" w14:textId="77777777" w:rsidR="003844E7" w:rsidRDefault="005407D8">
            <w:r>
              <w:t>autopay</w:t>
            </w:r>
          </w:p>
        </w:tc>
        <w:tc>
          <w:tcPr>
            <w:tcW w:w="3360" w:type="dxa"/>
          </w:tcPr>
          <w:p w14:paraId="08A6A980" w14:textId="77777777" w:rsidR="003844E7" w:rsidRDefault="005407D8">
            <w:r>
              <w:t>Whether automatic payment is used</w:t>
            </w:r>
          </w:p>
        </w:tc>
        <w:tc>
          <w:tcPr>
            <w:tcW w:w="3360" w:type="dxa"/>
          </w:tcPr>
          <w:p w14:paraId="7CC13B49" w14:textId="77777777" w:rsidR="003844E7" w:rsidRDefault="005407D8">
            <w:r>
              <w:t>May reflect customer relationship or convenience</w:t>
            </w:r>
          </w:p>
        </w:tc>
      </w:tr>
      <w:tr w:rsidR="003844E7" w14:paraId="6C9E1D86" w14:textId="77777777">
        <w:tc>
          <w:tcPr>
            <w:tcW w:w="3360" w:type="dxa"/>
          </w:tcPr>
          <w:p w14:paraId="1E99525F" w14:textId="77777777" w:rsidR="003844E7" w:rsidRDefault="005407D8">
            <w:r>
              <w:t>churn</w:t>
            </w:r>
          </w:p>
        </w:tc>
        <w:tc>
          <w:tcPr>
            <w:tcW w:w="3360" w:type="dxa"/>
          </w:tcPr>
          <w:p w14:paraId="7AF9CE97" w14:textId="77777777" w:rsidR="003844E7" w:rsidRDefault="005407D8">
            <w:r>
              <w:t>1 = customer churned; 0 = customer stayed</w:t>
            </w:r>
          </w:p>
        </w:tc>
        <w:tc>
          <w:tcPr>
            <w:tcW w:w="3360" w:type="dxa"/>
          </w:tcPr>
          <w:p w14:paraId="5C776D04" w14:textId="77777777" w:rsidR="003844E7" w:rsidRDefault="005407D8">
            <w:r>
              <w:t>Target/outcome used to study churn risk</w:t>
            </w:r>
          </w:p>
        </w:tc>
      </w:tr>
    </w:tbl>
    <w:p w14:paraId="08DF8D2D" w14:textId="77777777" w:rsidR="003844E7" w:rsidRDefault="005407D8">
      <w:pPr>
        <w:pStyle w:val="Kop1"/>
      </w:pPr>
      <w:r>
        <w:t>5. The business consequences of model errors</w:t>
      </w:r>
    </w:p>
    <w:p w14:paraId="0337B59E" w14:textId="77777777" w:rsidR="003844E7" w:rsidRDefault="005407D8">
      <w:r>
        <w:t>A churn model will not be perfect. Two mistakes are especially important:</w:t>
      </w:r>
    </w:p>
    <w:p w14:paraId="0B3F1FB4" w14:textId="77777777" w:rsidR="003844E7" w:rsidRDefault="005407D8">
      <w:r>
        <w:rPr>
          <w:b/>
        </w:rPr>
        <w:t xml:space="preserve">False positive — </w:t>
      </w:r>
      <w:r>
        <w:t>the model flags a customer as likely to churn, but the customer would have stayed. TeleConX may spend money or offer a discount unnecessarily.</w:t>
      </w:r>
    </w:p>
    <w:p w14:paraId="0FB003CE" w14:textId="77777777" w:rsidR="003844E7" w:rsidRDefault="005407D8">
      <w:r>
        <w:rPr>
          <w:b/>
        </w:rPr>
        <w:t xml:space="preserve">False negative — </w:t>
      </w:r>
      <w:r>
        <w:t>the model predicts that a customer will stay, but the customer actually churns. TeleConX misses the opportunity to intervene and may lose future customer value.</w:t>
      </w:r>
    </w:p>
    <w:p w14:paraId="6E8E9DE9" w14:textId="77777777" w:rsidR="003844E7" w:rsidRDefault="005407D8">
      <w:r>
        <w:t>Neither error can be judged properly without business information such as the cost of a retention intervention, the value of retaining a customer, and the probability that an intervention actually works. You should therefore be cautious about declaring a model or threshold 'best' when these values are unknown.</w:t>
      </w:r>
    </w:p>
    <w:p w14:paraId="704CEB6A" w14:textId="77777777" w:rsidR="003844E7" w:rsidRDefault="005407D8">
      <w:pPr>
        <w:pStyle w:val="Kop1"/>
      </w:pPr>
      <w:r>
        <w:t>6. The CRISP-DM storyline</w:t>
      </w:r>
    </w:p>
    <w:p w14:paraId="51F03C2A" w14:textId="77777777" w:rsidR="003844E7" w:rsidRDefault="005407D8">
      <w:r>
        <w:rPr>
          <w:b/>
        </w:rPr>
        <w:t xml:space="preserve">Week 1 — Business Understanding: </w:t>
      </w:r>
      <w:r>
        <w:t>Clarify the decision, stakeholder, business objective, success criteria and consequences of wrong decisions.</w:t>
      </w:r>
    </w:p>
    <w:p w14:paraId="0840FE70" w14:textId="77777777" w:rsidR="003844E7" w:rsidRDefault="005407D8">
      <w:r>
        <w:rPr>
          <w:b/>
        </w:rPr>
        <w:t xml:space="preserve">Week 1 — Data Understanding: </w:t>
      </w:r>
      <w:r>
        <w:t>Inspect the dataset, distributions, data types, missingness and churn balance. Ask whether the data can answer the business question.</w:t>
      </w:r>
    </w:p>
    <w:p w14:paraId="406DC6BC" w14:textId="77777777" w:rsidR="003844E7" w:rsidRDefault="005407D8">
      <w:r>
        <w:rPr>
          <w:b/>
        </w:rPr>
        <w:t xml:space="preserve">Week 2 — Data Preparation: </w:t>
      </w:r>
      <w:r>
        <w:t>Diagnose and resolve relevant data-quality issues. Every cleaning choice is an assumption that must be justified and validated.</w:t>
      </w:r>
    </w:p>
    <w:p w14:paraId="4E6DEF0A" w14:textId="77777777" w:rsidR="003844E7" w:rsidRDefault="005407D8">
      <w:r>
        <w:rPr>
          <w:b/>
        </w:rPr>
        <w:t xml:space="preserve">Week 3 — Modeling: </w:t>
      </w:r>
      <w:r>
        <w:t>Build a simple churn-risk model. The model is a tool for supporting the decision, not the final objective.</w:t>
      </w:r>
    </w:p>
    <w:p w14:paraId="6A783D2E" w14:textId="77777777" w:rsidR="003844E7" w:rsidRDefault="005407D8">
      <w:r>
        <w:rPr>
          <w:b/>
        </w:rPr>
        <w:t xml:space="preserve">Week 3 — Evaluation: </w:t>
      </w:r>
      <w:r>
        <w:t>Compare prediction errors and thresholds. Translate precision, recall and the confusion matrix into retention consequences.</w:t>
      </w:r>
    </w:p>
    <w:p w14:paraId="21CFF2CB" w14:textId="77777777" w:rsidR="003844E7" w:rsidRDefault="005407D8">
      <w:r>
        <w:rPr>
          <w:b/>
        </w:rPr>
        <w:t xml:space="preserve">Deployment thinking: </w:t>
      </w:r>
      <w:r>
        <w:t>Consider who would use the churn score, what action follows, what additional information is needed, and how performance should be monitored.</w:t>
      </w:r>
    </w:p>
    <w:p w14:paraId="41A20A7F" w14:textId="77777777" w:rsidR="003844E7" w:rsidRDefault="005407D8">
      <w:pPr>
        <w:pStyle w:val="Kop1"/>
      </w:pPr>
      <w:r>
        <w:lastRenderedPageBreak/>
        <w:t>7. Important limitation: prediction is not intervention</w:t>
      </w:r>
    </w:p>
    <w:p w14:paraId="00797F2F" w14:textId="77777777" w:rsidR="003844E7" w:rsidRDefault="005407D8">
      <w:r>
        <w:t>The dataset records whether customers churned and contains characteristics that may be associated with churn. It does not contain evidence showing which retention intervention causes a customer to stay.</w:t>
      </w:r>
    </w:p>
    <w:p w14:paraId="5010E7C5" w14:textId="77777777" w:rsidR="003844E7" w:rsidRDefault="005407D8">
      <w:r>
        <w:rPr>
          <w:b/>
        </w:rPr>
        <w:t>Therefore: predicting who may churn is not the same as knowing how to prevent churn.</w:t>
      </w:r>
    </w:p>
    <w:p w14:paraId="3398452A" w14:textId="77777777" w:rsidR="003844E7" w:rsidRDefault="005407D8">
      <w:r>
        <w:t>A strong recommendation should identify this limitation. TeleConX may eventually need additional information such as customer lifetime value, intervention cost, previous retention offers, customer responses, satisfaction measures, and controlled experiments comparing retention actions.</w:t>
      </w:r>
    </w:p>
    <w:p w14:paraId="73A21DF8" w14:textId="77777777" w:rsidR="003844E7" w:rsidRDefault="005407D8">
      <w:pPr>
        <w:pStyle w:val="Kop1"/>
      </w:pPr>
      <w:r>
        <w:t>8. Your working question</w:t>
      </w:r>
    </w:p>
    <w:p w14:paraId="2D649866" w14:textId="77777777" w:rsidR="003844E7" w:rsidRDefault="005407D8">
      <w:r>
        <w:t>Throughout Weeks 1–3, return to the following question after every analysis:</w:t>
      </w:r>
    </w:p>
    <w:p w14:paraId="07374AB7" w14:textId="77777777" w:rsidR="003844E7" w:rsidRDefault="005407D8">
      <w:pPr>
        <w:jc w:val="center"/>
      </w:pPr>
      <w:r>
        <w:rPr>
          <w:b/>
          <w:sz w:val="28"/>
        </w:rPr>
        <w:t>What does this result change about the decision TeleConX should make?</w:t>
      </w:r>
    </w:p>
    <w:p w14:paraId="6F39F0CC" w14:textId="77777777" w:rsidR="003844E7" w:rsidRDefault="005407D8">
      <w:pPr>
        <w:pStyle w:val="Kop1"/>
      </w:pPr>
      <w:r>
        <w:t>9. Before opening the notebook</w:t>
      </w:r>
    </w:p>
    <w:p w14:paraId="1CD7A34B" w14:textId="77777777" w:rsidR="003844E7" w:rsidRDefault="005407D8">
      <w:pPr>
        <w:pStyle w:val="Lijstnummering"/>
      </w:pPr>
      <w:r>
        <w:t>Who is the decision maker in this case?</w:t>
      </w:r>
    </w:p>
    <w:p w14:paraId="17A03E5A" w14:textId="77777777" w:rsidR="003844E7" w:rsidRDefault="005407D8">
      <w:pPr>
        <w:pStyle w:val="Lijstnummering"/>
      </w:pPr>
      <w:r>
        <w:t>What action might follow if a customer is classified as high risk?</w:t>
      </w:r>
    </w:p>
    <w:p w14:paraId="7984CED2" w14:textId="77777777" w:rsidR="003844E7" w:rsidRDefault="005407D8">
      <w:pPr>
        <w:pStyle w:val="Lijstnummering"/>
      </w:pPr>
      <w:r>
        <w:t>Which is more costly: a false positive or a false negative? What information would you need to know for sure?</w:t>
      </w:r>
    </w:p>
    <w:p w14:paraId="76FF3D1B" w14:textId="77777777" w:rsidR="003844E7" w:rsidRDefault="005407D8">
      <w:pPr>
        <w:pStyle w:val="Lijstnummering"/>
      </w:pPr>
      <w:r>
        <w:t>What would count as business success—not merely model accuracy?</w:t>
      </w:r>
    </w:p>
    <w:p w14:paraId="38D82786" w14:textId="77777777" w:rsidR="003844E7" w:rsidRDefault="005407D8">
      <w:pPr>
        <w:pStyle w:val="Lijstnummering"/>
      </w:pPr>
      <w:r>
        <w:t>What can the supplied data potentially tell TeleConX, and what can it not tell TeleConX?</w:t>
      </w:r>
    </w:p>
    <w:p w14:paraId="57711D1D" w14:textId="77777777" w:rsidR="003844E7" w:rsidRDefault="003844E7"/>
    <w:p w14:paraId="2976CEC8" w14:textId="77777777" w:rsidR="003844E7" w:rsidRDefault="005407D8">
      <w:pPr>
        <w:jc w:val="center"/>
      </w:pPr>
      <w:r>
        <w:rPr>
          <w:b/>
        </w:rPr>
        <w:t>Start the Week 1 notebook only after you can explain the business decision in your own words.</w:t>
      </w:r>
    </w:p>
    <w:sectPr w:rsidR="003844E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397748936">
    <w:abstractNumId w:val="8"/>
  </w:num>
  <w:num w:numId="2" w16cid:durableId="1015957017">
    <w:abstractNumId w:val="6"/>
  </w:num>
  <w:num w:numId="3" w16cid:durableId="303825048">
    <w:abstractNumId w:val="5"/>
  </w:num>
  <w:num w:numId="4" w16cid:durableId="564805578">
    <w:abstractNumId w:val="4"/>
  </w:num>
  <w:num w:numId="5" w16cid:durableId="1192455538">
    <w:abstractNumId w:val="7"/>
  </w:num>
  <w:num w:numId="6" w16cid:durableId="1904218116">
    <w:abstractNumId w:val="3"/>
  </w:num>
  <w:num w:numId="7" w16cid:durableId="1492059537">
    <w:abstractNumId w:val="2"/>
  </w:num>
  <w:num w:numId="8" w16cid:durableId="35742124">
    <w:abstractNumId w:val="1"/>
  </w:num>
  <w:num w:numId="9" w16cid:durableId="202015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2C1"/>
    <w:rsid w:val="0015074B"/>
    <w:rsid w:val="0029639D"/>
    <w:rsid w:val="00326F90"/>
    <w:rsid w:val="003844E7"/>
    <w:rsid w:val="005407D8"/>
    <w:rsid w:val="00AA1D8D"/>
    <w:rsid w:val="00B47730"/>
    <w:rsid w:val="00CB0664"/>
    <w:rsid w:val="00E74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2833EE-72D6-4F0A-99E0-41F78574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hAnsi="Aptos"/>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0212BA395C8478D21096B082A7875" ma:contentTypeVersion="11" ma:contentTypeDescription="Create a new document." ma:contentTypeScope="" ma:versionID="1069a93674ba2732df54bac87f25410c">
  <xsd:schema xmlns:xsd="http://www.w3.org/2001/XMLSchema" xmlns:xs="http://www.w3.org/2001/XMLSchema" xmlns:p="http://schemas.microsoft.com/office/2006/metadata/properties" xmlns:ns2="c45746ea-77b8-454c-a061-206b63880dc5" xmlns:ns3="e6a59a37-c1ac-441e-9c2d-bf5897a38d40" targetNamespace="http://schemas.microsoft.com/office/2006/metadata/properties" ma:root="true" ma:fieldsID="fe8cc56dbfbf5d3a495cebf7f1a68665" ns2:_="" ns3:_="">
    <xsd:import namespace="c45746ea-77b8-454c-a061-206b63880dc5"/>
    <xsd:import namespace="e6a59a37-c1ac-441e-9c2d-bf5897a38d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5746ea-77b8-454c-a061-206b63880d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a59a37-c1ac-441e-9c2d-bf5897a38d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ebd8a2-4148-4f37-9155-3ca0689513a3}" ma:internalName="TaxCatchAll" ma:showField="CatchAllData" ma:web="e6a59a37-c1ac-441e-9c2d-bf5897a38d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e6a59a37-c1ac-441e-9c2d-bf5897a38d40" xsi:nil="true"/>
    <lcf76f155ced4ddcb4097134ff3c332f xmlns="c45746ea-77b8-454c-a061-206b63880dc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FE9149-2E66-4FC5-9030-CB41AE1E2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5746ea-77b8-454c-a061-206b63880dc5"/>
    <ds:schemaRef ds:uri="e6a59a37-c1ac-441e-9c2d-bf5897a38d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E191D7A-592C-426F-B732-C94CAB18395C}">
  <ds:schemaRefs>
    <ds:schemaRef ds:uri="http://schemas.microsoft.com/office/2006/metadata/properties"/>
    <ds:schemaRef ds:uri="http://schemas.microsoft.com/office/infopath/2007/PartnerControls"/>
    <ds:schemaRef ds:uri="e6a59a37-c1ac-441e-9c2d-bf5897a38d40"/>
    <ds:schemaRef ds:uri="c45746ea-77b8-454c-a061-206b63880dc5"/>
  </ds:schemaRefs>
</ds:datastoreItem>
</file>

<file path=customXml/itemProps4.xml><?xml version="1.0" encoding="utf-8"?>
<ds:datastoreItem xmlns:ds="http://schemas.openxmlformats.org/officeDocument/2006/customXml" ds:itemID="{175FBF5E-0583-408B-870D-0219D1890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939</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Tijn Peters</cp:lastModifiedBy>
  <cp:revision>2</cp:revision>
  <dcterms:created xsi:type="dcterms:W3CDTF">2026-09-10T08:36:00Z</dcterms:created>
  <dcterms:modified xsi:type="dcterms:W3CDTF">2026-09-10T08:36:00Z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0x0101003C20212BA395C8478D21096B082A7875</vt:lpwstr>
  </property>
</Properties>
</file>