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B1C201" w14:textId="0DF32B58" w:rsidR="005D55EB" w:rsidRDefault="00D57029">
      <w:pPr>
        <w:pStyle w:val="TOCHeading"/>
        <w:rPr>
          <w:rFonts w:eastAsiaTheme="minorHAnsi" w:cstheme="minorBidi"/>
          <w:b w:val="0"/>
          <w:color w:val="auto"/>
          <w:sz w:val="22"/>
          <w:szCs w:val="22"/>
        </w:rPr>
      </w:pPr>
      <w:r>
        <w:rPr>
          <w:rFonts w:eastAsiaTheme="minorHAnsi" w:cstheme="minorBidi"/>
          <w:b w:val="0"/>
          <w:noProof/>
          <w:color w:val="auto"/>
          <w:sz w:val="22"/>
          <w:szCs w:val="22"/>
        </w:rPr>
        <w:drawing>
          <wp:anchor distT="0" distB="0" distL="114300" distR="114300" simplePos="0" relativeHeight="251658240" behindDoc="0" locked="0" layoutInCell="1" allowOverlap="1" wp14:anchorId="4BD95422" wp14:editId="10F4EF1D">
            <wp:simplePos x="0" y="0"/>
            <wp:positionH relativeFrom="column">
              <wp:posOffset>4168140</wp:posOffset>
            </wp:positionH>
            <wp:positionV relativeFrom="paragraph">
              <wp:posOffset>0</wp:posOffset>
            </wp:positionV>
            <wp:extent cx="2018665" cy="723900"/>
            <wp:effectExtent l="0" t="0" r="635" b="0"/>
            <wp:wrapTopAndBottom/>
            <wp:docPr id="32150808" name="Picture 1"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50808" name="Picture 1" descr="A close-up of a logo&#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018665" cy="723900"/>
                    </a:xfrm>
                    <a:prstGeom prst="rect">
                      <a:avLst/>
                    </a:prstGeom>
                  </pic:spPr>
                </pic:pic>
              </a:graphicData>
            </a:graphic>
            <wp14:sizeRelH relativeFrom="page">
              <wp14:pctWidth>0</wp14:pctWidth>
            </wp14:sizeRelH>
            <wp14:sizeRelV relativeFrom="page">
              <wp14:pctHeight>0</wp14:pctHeight>
            </wp14:sizeRelV>
          </wp:anchor>
        </w:drawing>
      </w:r>
      <w:r w:rsidR="00AA0BB1">
        <w:rPr>
          <w:rFonts w:eastAsiaTheme="minorHAnsi" w:cstheme="minorBidi"/>
          <w:b w:val="0"/>
          <w:color w:val="auto"/>
          <w:sz w:val="22"/>
          <w:szCs w:val="22"/>
        </w:rPr>
        <w:t xml:space="preserve"> </w:t>
      </w:r>
    </w:p>
    <w:p w14:paraId="243DDA4B" w14:textId="77777777" w:rsidR="005D55EB" w:rsidRPr="005D55EB" w:rsidRDefault="005D55EB" w:rsidP="005D55EB">
      <w:pPr>
        <w:spacing w:after="223"/>
        <w:ind w:hanging="10"/>
        <w:rPr>
          <w:rFonts w:ascii="Calibri" w:eastAsia="Calibri" w:hAnsi="Calibri" w:cs="Calibri"/>
          <w:color w:val="000000"/>
          <w:kern w:val="2"/>
          <w:szCs w:val="24"/>
          <w14:ligatures w14:val="standardContextual"/>
        </w:rPr>
      </w:pPr>
      <w:r w:rsidRPr="005D55EB">
        <w:rPr>
          <w:rFonts w:ascii="Calibri" w:eastAsia="Calibri" w:hAnsi="Calibri" w:cs="Calibri"/>
          <w:b/>
          <w:color w:val="000000"/>
          <w:kern w:val="2"/>
          <w:szCs w:val="24"/>
          <w14:ligatures w14:val="standardContextual"/>
        </w:rPr>
        <w:t xml:space="preserve">BPP Business School  </w:t>
      </w:r>
    </w:p>
    <w:p w14:paraId="73EC2784" w14:textId="77777777" w:rsidR="005D55EB" w:rsidRPr="005D55EB" w:rsidRDefault="005D55EB" w:rsidP="005D55EB">
      <w:pPr>
        <w:keepNext/>
        <w:keepLines/>
        <w:spacing w:after="222"/>
        <w:ind w:hanging="10"/>
        <w:outlineLvl w:val="0"/>
        <w:rPr>
          <w:rFonts w:ascii="Calibri" w:eastAsia="Calibri" w:hAnsi="Calibri" w:cs="Calibri"/>
          <w:color w:val="000000"/>
          <w:kern w:val="2"/>
          <w:sz w:val="56"/>
          <w:szCs w:val="24"/>
          <w14:ligatures w14:val="standardContextual"/>
        </w:rPr>
      </w:pPr>
      <w:bookmarkStart w:id="0" w:name="_Toc189824297"/>
      <w:r w:rsidRPr="005D55EB">
        <w:rPr>
          <w:rFonts w:ascii="Calibri" w:eastAsia="Calibri" w:hAnsi="Calibri" w:cs="Calibri"/>
          <w:b/>
          <w:color w:val="000000"/>
          <w:kern w:val="2"/>
          <w:szCs w:val="24"/>
          <w14:ligatures w14:val="standardContextual"/>
        </w:rPr>
        <w:t>Coursework Cover Sheet</w:t>
      </w:r>
      <w:bookmarkEnd w:id="0"/>
      <w:r w:rsidRPr="005D55EB">
        <w:rPr>
          <w:rFonts w:ascii="Calibri" w:eastAsia="Calibri" w:hAnsi="Calibri" w:cs="Calibri"/>
          <w:color w:val="000000"/>
          <w:kern w:val="2"/>
          <w:szCs w:val="24"/>
          <w14:ligatures w14:val="standardContextual"/>
        </w:rPr>
        <w:t xml:space="preserve"> </w:t>
      </w:r>
    </w:p>
    <w:p w14:paraId="45B4DC9A" w14:textId="77777777" w:rsidR="005D55EB" w:rsidRPr="005D55EB" w:rsidRDefault="005D55EB" w:rsidP="005D55EB">
      <w:pPr>
        <w:spacing w:after="0" w:line="469" w:lineRule="auto"/>
        <w:ind w:right="1106" w:hanging="10"/>
        <w:rPr>
          <w:rFonts w:ascii="Calibri" w:eastAsia="Calibri" w:hAnsi="Calibri" w:cs="Calibri"/>
          <w:color w:val="000000"/>
          <w:kern w:val="2"/>
          <w:szCs w:val="24"/>
          <w14:ligatures w14:val="standardContextual"/>
        </w:rPr>
      </w:pPr>
      <w:r w:rsidRPr="005D55EB">
        <w:rPr>
          <w:rFonts w:ascii="Calibri" w:eastAsia="Calibri" w:hAnsi="Calibri" w:cs="Calibri"/>
          <w:color w:val="000000"/>
          <w:kern w:val="2"/>
          <w:szCs w:val="24"/>
          <w14:ligatures w14:val="standardContextual"/>
        </w:rPr>
        <w:t>Please use this document as the cover sheet of for the 1</w:t>
      </w:r>
      <w:r w:rsidRPr="005D55EB">
        <w:rPr>
          <w:rFonts w:ascii="Calibri" w:eastAsia="Calibri" w:hAnsi="Calibri" w:cs="Calibri"/>
          <w:color w:val="000000"/>
          <w:kern w:val="2"/>
          <w:szCs w:val="24"/>
          <w:vertAlign w:val="superscript"/>
          <w14:ligatures w14:val="standardContextual"/>
        </w:rPr>
        <w:t>st</w:t>
      </w:r>
      <w:r w:rsidRPr="005D55EB">
        <w:rPr>
          <w:rFonts w:ascii="Calibri" w:eastAsia="Calibri" w:hAnsi="Calibri" w:cs="Calibri"/>
          <w:color w:val="000000"/>
          <w:kern w:val="2"/>
          <w:szCs w:val="24"/>
          <w14:ligatures w14:val="standardContextual"/>
        </w:rPr>
        <w:t xml:space="preserve"> page of your assessment. Please complete the below table – the grey columns </w:t>
      </w:r>
    </w:p>
    <w:p w14:paraId="467FDE48" w14:textId="77777777" w:rsidR="005D55EB" w:rsidRPr="005D55EB" w:rsidRDefault="005D55EB" w:rsidP="005D55EB">
      <w:pPr>
        <w:spacing w:after="0"/>
        <w:ind w:left="5"/>
        <w:rPr>
          <w:rFonts w:ascii="Calibri" w:eastAsia="Calibri" w:hAnsi="Calibri" w:cs="Calibri"/>
          <w:color w:val="000000"/>
          <w:kern w:val="2"/>
          <w:szCs w:val="24"/>
          <w14:ligatures w14:val="standardContextual"/>
        </w:rPr>
      </w:pPr>
      <w:r w:rsidRPr="005D55EB">
        <w:rPr>
          <w:rFonts w:ascii="Calibri" w:eastAsia="Calibri" w:hAnsi="Calibri" w:cs="Calibri"/>
          <w:color w:val="000000"/>
          <w:kern w:val="2"/>
          <w:szCs w:val="24"/>
          <w14:ligatures w14:val="standardContextual"/>
        </w:rPr>
        <w:t xml:space="preserve"> </w:t>
      </w:r>
    </w:p>
    <w:tbl>
      <w:tblPr>
        <w:tblStyle w:val="TableGrid0"/>
        <w:tblW w:w="9017" w:type="dxa"/>
        <w:tblInd w:w="10" w:type="dxa"/>
        <w:tblCellMar>
          <w:top w:w="49" w:type="dxa"/>
          <w:right w:w="1" w:type="dxa"/>
        </w:tblCellMar>
        <w:tblLook w:val="04A0" w:firstRow="1" w:lastRow="0" w:firstColumn="1" w:lastColumn="0" w:noHBand="0" w:noVBand="1"/>
      </w:tblPr>
      <w:tblGrid>
        <w:gridCol w:w="2671"/>
        <w:gridCol w:w="101"/>
        <w:gridCol w:w="1108"/>
        <w:gridCol w:w="1038"/>
        <w:gridCol w:w="4099"/>
      </w:tblGrid>
      <w:tr w:rsidR="005D55EB" w:rsidRPr="005D55EB" w14:paraId="4B5F50B1" w14:textId="77777777" w:rsidTr="00AD6A48">
        <w:trPr>
          <w:trHeight w:val="517"/>
        </w:trPr>
        <w:tc>
          <w:tcPr>
            <w:tcW w:w="2733" w:type="dxa"/>
            <w:tcBorders>
              <w:top w:val="single" w:sz="4" w:space="0" w:color="000000"/>
              <w:left w:val="single" w:sz="4" w:space="0" w:color="000000"/>
              <w:bottom w:val="single" w:sz="4" w:space="0" w:color="000000"/>
              <w:right w:val="single" w:sz="4" w:space="0" w:color="000000"/>
            </w:tcBorders>
          </w:tcPr>
          <w:p w14:paraId="327F3DEF" w14:textId="77777777" w:rsidR="005D55EB" w:rsidRPr="005D55EB" w:rsidRDefault="005D55EB" w:rsidP="005D55EB">
            <w:pPr>
              <w:spacing w:line="259" w:lineRule="auto"/>
              <w:ind w:left="110"/>
              <w:rPr>
                <w:rFonts w:ascii="Calibri" w:eastAsia="Calibri" w:hAnsi="Calibri" w:cs="Calibri"/>
                <w:color w:val="000000"/>
              </w:rPr>
            </w:pPr>
            <w:r w:rsidRPr="005D55EB">
              <w:rPr>
                <w:rFonts w:ascii="Calibri" w:eastAsia="Calibri" w:hAnsi="Calibri" w:cs="Calibri"/>
                <w:color w:val="000000"/>
              </w:rPr>
              <w:t xml:space="preserve">Module Name </w:t>
            </w:r>
          </w:p>
        </w:tc>
        <w:tc>
          <w:tcPr>
            <w:tcW w:w="6283" w:type="dxa"/>
            <w:gridSpan w:val="4"/>
            <w:tcBorders>
              <w:top w:val="single" w:sz="4" w:space="0" w:color="000000"/>
              <w:left w:val="single" w:sz="4" w:space="0" w:color="000000"/>
              <w:bottom w:val="single" w:sz="4" w:space="0" w:color="000000"/>
              <w:right w:val="single" w:sz="4" w:space="0" w:color="000000"/>
            </w:tcBorders>
            <w:shd w:val="clear" w:color="auto" w:fill="BFBFBF"/>
          </w:tcPr>
          <w:p w14:paraId="5677C221" w14:textId="77777777" w:rsidR="005D55EB" w:rsidRPr="005D55EB" w:rsidRDefault="005D55EB" w:rsidP="005D55EB">
            <w:pPr>
              <w:spacing w:line="259" w:lineRule="auto"/>
              <w:ind w:left="104"/>
              <w:rPr>
                <w:rFonts w:ascii="Calibri" w:eastAsia="Calibri" w:hAnsi="Calibri" w:cs="Calibri"/>
                <w:color w:val="000000"/>
              </w:rPr>
            </w:pPr>
            <w:r w:rsidRPr="005D55EB">
              <w:rPr>
                <w:rFonts w:ascii="Calibri" w:eastAsia="Calibri" w:hAnsi="Calibri" w:cs="Calibri"/>
                <w:color w:val="000000"/>
              </w:rPr>
              <w:t xml:space="preserve">Data driven Decisions for Business </w:t>
            </w:r>
          </w:p>
        </w:tc>
      </w:tr>
      <w:tr w:rsidR="005D55EB" w:rsidRPr="005D55EB" w14:paraId="198CA625" w14:textId="77777777" w:rsidTr="00AD6A48">
        <w:trPr>
          <w:trHeight w:val="519"/>
        </w:trPr>
        <w:tc>
          <w:tcPr>
            <w:tcW w:w="2733" w:type="dxa"/>
            <w:tcBorders>
              <w:top w:val="single" w:sz="4" w:space="0" w:color="000000"/>
              <w:left w:val="single" w:sz="4" w:space="0" w:color="000000"/>
              <w:bottom w:val="single" w:sz="4" w:space="0" w:color="000000"/>
              <w:right w:val="single" w:sz="4" w:space="0" w:color="000000"/>
            </w:tcBorders>
          </w:tcPr>
          <w:p w14:paraId="22A774F0" w14:textId="77777777" w:rsidR="005D55EB" w:rsidRPr="005D55EB" w:rsidRDefault="005D55EB" w:rsidP="005D55EB">
            <w:pPr>
              <w:spacing w:line="259" w:lineRule="auto"/>
              <w:ind w:left="110"/>
              <w:rPr>
                <w:rFonts w:ascii="Calibri" w:eastAsia="Calibri" w:hAnsi="Calibri" w:cs="Calibri"/>
                <w:color w:val="000000"/>
              </w:rPr>
            </w:pPr>
            <w:r w:rsidRPr="005D55EB">
              <w:rPr>
                <w:rFonts w:ascii="Calibri" w:eastAsia="Calibri" w:hAnsi="Calibri" w:cs="Calibri"/>
                <w:color w:val="000000"/>
              </w:rPr>
              <w:t xml:space="preserve">Programme Name </w:t>
            </w:r>
          </w:p>
        </w:tc>
        <w:tc>
          <w:tcPr>
            <w:tcW w:w="6283" w:type="dxa"/>
            <w:gridSpan w:val="4"/>
            <w:tcBorders>
              <w:top w:val="single" w:sz="4" w:space="0" w:color="000000"/>
              <w:left w:val="single" w:sz="4" w:space="0" w:color="000000"/>
              <w:bottom w:val="single" w:sz="4" w:space="0" w:color="000000"/>
              <w:right w:val="single" w:sz="4" w:space="0" w:color="000000"/>
            </w:tcBorders>
            <w:shd w:val="clear" w:color="auto" w:fill="BFBFBF"/>
          </w:tcPr>
          <w:p w14:paraId="0D3DDE7A" w14:textId="77777777" w:rsidR="005D55EB" w:rsidRPr="005D55EB" w:rsidRDefault="005D55EB" w:rsidP="005D55EB">
            <w:pPr>
              <w:spacing w:line="259" w:lineRule="auto"/>
              <w:ind w:left="104"/>
              <w:rPr>
                <w:rFonts w:ascii="Calibri" w:eastAsia="Calibri" w:hAnsi="Calibri" w:cs="Calibri"/>
                <w:color w:val="000000"/>
              </w:rPr>
            </w:pPr>
            <w:r w:rsidRPr="005D55EB">
              <w:rPr>
                <w:rFonts w:ascii="Calibri" w:eastAsia="Calibri" w:hAnsi="Calibri" w:cs="Calibri"/>
                <w:color w:val="000000"/>
              </w:rPr>
              <w:t xml:space="preserve">MSc Management </w:t>
            </w:r>
          </w:p>
        </w:tc>
      </w:tr>
      <w:tr w:rsidR="005D55EB" w:rsidRPr="005D55EB" w14:paraId="7732B76F" w14:textId="77777777" w:rsidTr="00AD6A48">
        <w:trPr>
          <w:trHeight w:val="274"/>
        </w:trPr>
        <w:tc>
          <w:tcPr>
            <w:tcW w:w="2733" w:type="dxa"/>
            <w:vMerge w:val="restart"/>
            <w:tcBorders>
              <w:top w:val="single" w:sz="4" w:space="0" w:color="000000"/>
              <w:left w:val="single" w:sz="4" w:space="0" w:color="000000"/>
              <w:bottom w:val="single" w:sz="4" w:space="0" w:color="000000"/>
              <w:right w:val="single" w:sz="4" w:space="0" w:color="000000"/>
            </w:tcBorders>
          </w:tcPr>
          <w:p w14:paraId="43CE9948" w14:textId="77777777" w:rsidR="005D55EB" w:rsidRPr="005D55EB" w:rsidRDefault="005D55EB" w:rsidP="005D55EB">
            <w:pPr>
              <w:spacing w:line="259" w:lineRule="auto"/>
              <w:ind w:left="110"/>
              <w:rPr>
                <w:rFonts w:ascii="Calibri" w:eastAsia="Calibri" w:hAnsi="Calibri" w:cs="Calibri"/>
                <w:color w:val="000000"/>
              </w:rPr>
            </w:pPr>
            <w:r w:rsidRPr="005D55EB">
              <w:rPr>
                <w:rFonts w:ascii="Calibri" w:eastAsia="Calibri" w:hAnsi="Calibri" w:cs="Calibri"/>
                <w:color w:val="000000"/>
              </w:rPr>
              <w:t xml:space="preserve">Student Reference Number  (SRN) </w:t>
            </w:r>
          </w:p>
        </w:tc>
        <w:tc>
          <w:tcPr>
            <w:tcW w:w="104" w:type="dxa"/>
            <w:vMerge w:val="restart"/>
            <w:tcBorders>
              <w:top w:val="single" w:sz="4" w:space="0" w:color="000000"/>
              <w:left w:val="single" w:sz="4" w:space="0" w:color="000000"/>
              <w:bottom w:val="single" w:sz="4" w:space="0" w:color="000000"/>
              <w:right w:val="nil"/>
            </w:tcBorders>
            <w:shd w:val="clear" w:color="auto" w:fill="BFBFBF"/>
          </w:tcPr>
          <w:p w14:paraId="67DB2FB4" w14:textId="77777777" w:rsidR="005D55EB" w:rsidRPr="005D55EB" w:rsidRDefault="005D55EB" w:rsidP="005D55EB">
            <w:pPr>
              <w:spacing w:after="160" w:line="259" w:lineRule="auto"/>
              <w:rPr>
                <w:rFonts w:ascii="Calibri" w:eastAsia="Calibri" w:hAnsi="Calibri" w:cs="Calibri"/>
                <w:color w:val="000000"/>
              </w:rPr>
            </w:pPr>
          </w:p>
        </w:tc>
        <w:tc>
          <w:tcPr>
            <w:tcW w:w="826" w:type="dxa"/>
            <w:tcBorders>
              <w:top w:val="single" w:sz="4" w:space="0" w:color="000000"/>
              <w:left w:val="nil"/>
              <w:bottom w:val="nil"/>
              <w:right w:val="nil"/>
            </w:tcBorders>
            <w:shd w:val="clear" w:color="auto" w:fill="FFFF00"/>
          </w:tcPr>
          <w:p w14:paraId="5EC1F058" w14:textId="51AA7183" w:rsidR="005D55EB" w:rsidRPr="005D55EB" w:rsidRDefault="0029199F" w:rsidP="005D55EB">
            <w:pPr>
              <w:spacing w:line="259" w:lineRule="auto"/>
              <w:jc w:val="both"/>
              <w:rPr>
                <w:rFonts w:ascii="Calibri" w:eastAsia="Calibri" w:hAnsi="Calibri" w:cs="Calibri"/>
                <w:color w:val="000000"/>
              </w:rPr>
            </w:pPr>
            <w:r>
              <w:rPr>
                <w:rFonts w:ascii="Calibri" w:eastAsia="Calibri" w:hAnsi="Calibri" w:cs="Calibri"/>
                <w:color w:val="000000"/>
              </w:rPr>
              <w:t>BP0293328</w:t>
            </w:r>
          </w:p>
        </w:tc>
        <w:tc>
          <w:tcPr>
            <w:tcW w:w="5353" w:type="dxa"/>
            <w:gridSpan w:val="2"/>
            <w:vMerge w:val="restart"/>
            <w:tcBorders>
              <w:top w:val="single" w:sz="4" w:space="0" w:color="000000"/>
              <w:left w:val="nil"/>
              <w:bottom w:val="single" w:sz="4" w:space="0" w:color="000000"/>
              <w:right w:val="single" w:sz="4" w:space="0" w:color="000000"/>
            </w:tcBorders>
            <w:shd w:val="clear" w:color="auto" w:fill="BFBFBF"/>
          </w:tcPr>
          <w:p w14:paraId="512E45A5" w14:textId="77777777" w:rsidR="005D55EB" w:rsidRPr="005D55EB" w:rsidRDefault="005D55EB" w:rsidP="005D55EB">
            <w:pPr>
              <w:spacing w:line="259" w:lineRule="auto"/>
              <w:rPr>
                <w:rFonts w:ascii="Calibri" w:eastAsia="Calibri" w:hAnsi="Calibri" w:cs="Calibri"/>
                <w:color w:val="000000"/>
              </w:rPr>
            </w:pPr>
            <w:r w:rsidRPr="005D55EB">
              <w:rPr>
                <w:rFonts w:ascii="Calibri" w:eastAsia="Calibri" w:hAnsi="Calibri" w:cs="Calibri"/>
                <w:color w:val="000000"/>
              </w:rPr>
              <w:t xml:space="preserve"> </w:t>
            </w:r>
          </w:p>
        </w:tc>
      </w:tr>
      <w:tr w:rsidR="005D55EB" w:rsidRPr="005D55EB" w14:paraId="0D3E0FD5" w14:textId="77777777" w:rsidTr="00AD6A48">
        <w:trPr>
          <w:trHeight w:val="274"/>
        </w:trPr>
        <w:tc>
          <w:tcPr>
            <w:tcW w:w="0" w:type="auto"/>
            <w:vMerge/>
            <w:tcBorders>
              <w:top w:val="nil"/>
              <w:left w:val="single" w:sz="4" w:space="0" w:color="000000"/>
              <w:bottom w:val="single" w:sz="4" w:space="0" w:color="000000"/>
              <w:right w:val="single" w:sz="4" w:space="0" w:color="000000"/>
            </w:tcBorders>
          </w:tcPr>
          <w:p w14:paraId="6FB41E20" w14:textId="77777777" w:rsidR="005D55EB" w:rsidRPr="005D55EB" w:rsidRDefault="005D55EB" w:rsidP="005D55EB">
            <w:pPr>
              <w:spacing w:after="160" w:line="259" w:lineRule="auto"/>
              <w:rPr>
                <w:rFonts w:ascii="Calibri" w:eastAsia="Calibri" w:hAnsi="Calibri" w:cs="Calibri"/>
                <w:color w:val="000000"/>
              </w:rPr>
            </w:pPr>
          </w:p>
        </w:tc>
        <w:tc>
          <w:tcPr>
            <w:tcW w:w="0" w:type="auto"/>
            <w:vMerge/>
            <w:tcBorders>
              <w:top w:val="nil"/>
              <w:left w:val="single" w:sz="4" w:space="0" w:color="000000"/>
              <w:bottom w:val="single" w:sz="4" w:space="0" w:color="000000"/>
              <w:right w:val="nil"/>
            </w:tcBorders>
          </w:tcPr>
          <w:p w14:paraId="6BF494C1" w14:textId="77777777" w:rsidR="005D55EB" w:rsidRPr="005D55EB" w:rsidRDefault="005D55EB" w:rsidP="005D55EB">
            <w:pPr>
              <w:spacing w:after="160" w:line="259" w:lineRule="auto"/>
              <w:rPr>
                <w:rFonts w:ascii="Calibri" w:eastAsia="Calibri" w:hAnsi="Calibri" w:cs="Calibri"/>
                <w:color w:val="000000"/>
              </w:rPr>
            </w:pPr>
          </w:p>
        </w:tc>
        <w:tc>
          <w:tcPr>
            <w:tcW w:w="826" w:type="dxa"/>
            <w:tcBorders>
              <w:top w:val="nil"/>
              <w:left w:val="nil"/>
              <w:bottom w:val="single" w:sz="4" w:space="0" w:color="000000"/>
              <w:right w:val="nil"/>
            </w:tcBorders>
            <w:shd w:val="clear" w:color="auto" w:fill="BFBFBF"/>
          </w:tcPr>
          <w:p w14:paraId="20FB95F1" w14:textId="77777777" w:rsidR="005D55EB" w:rsidRPr="005D55EB" w:rsidRDefault="005D55EB" w:rsidP="005D55EB">
            <w:pPr>
              <w:spacing w:after="160" w:line="259" w:lineRule="auto"/>
              <w:rPr>
                <w:rFonts w:ascii="Calibri" w:eastAsia="Calibri" w:hAnsi="Calibri" w:cs="Calibri"/>
                <w:color w:val="000000"/>
              </w:rPr>
            </w:pPr>
          </w:p>
        </w:tc>
        <w:tc>
          <w:tcPr>
            <w:tcW w:w="0" w:type="auto"/>
            <w:gridSpan w:val="2"/>
            <w:vMerge/>
            <w:tcBorders>
              <w:top w:val="nil"/>
              <w:left w:val="nil"/>
              <w:bottom w:val="single" w:sz="4" w:space="0" w:color="000000"/>
              <w:right w:val="single" w:sz="4" w:space="0" w:color="000000"/>
            </w:tcBorders>
          </w:tcPr>
          <w:p w14:paraId="6EB412B1" w14:textId="77777777" w:rsidR="005D55EB" w:rsidRPr="005D55EB" w:rsidRDefault="005D55EB" w:rsidP="005D55EB">
            <w:pPr>
              <w:spacing w:after="160" w:line="259" w:lineRule="auto"/>
              <w:rPr>
                <w:rFonts w:ascii="Calibri" w:eastAsia="Calibri" w:hAnsi="Calibri" w:cs="Calibri"/>
                <w:color w:val="000000"/>
              </w:rPr>
            </w:pPr>
          </w:p>
        </w:tc>
      </w:tr>
      <w:tr w:rsidR="005D55EB" w:rsidRPr="005D55EB" w14:paraId="2E476417" w14:textId="77777777" w:rsidTr="00AD6A48">
        <w:trPr>
          <w:trHeight w:val="274"/>
        </w:trPr>
        <w:tc>
          <w:tcPr>
            <w:tcW w:w="2733" w:type="dxa"/>
            <w:vMerge w:val="restart"/>
            <w:tcBorders>
              <w:top w:val="single" w:sz="4" w:space="0" w:color="000000"/>
              <w:left w:val="single" w:sz="4" w:space="0" w:color="000000"/>
              <w:bottom w:val="single" w:sz="4" w:space="0" w:color="000000"/>
              <w:right w:val="single" w:sz="4" w:space="0" w:color="000000"/>
            </w:tcBorders>
          </w:tcPr>
          <w:p w14:paraId="20F217DA" w14:textId="77777777" w:rsidR="005D55EB" w:rsidRPr="005D55EB" w:rsidRDefault="005D55EB" w:rsidP="005D55EB">
            <w:pPr>
              <w:spacing w:line="259" w:lineRule="auto"/>
              <w:ind w:left="110"/>
              <w:rPr>
                <w:rFonts w:ascii="Calibri" w:eastAsia="Calibri" w:hAnsi="Calibri" w:cs="Calibri"/>
                <w:color w:val="000000"/>
              </w:rPr>
            </w:pPr>
            <w:r w:rsidRPr="005D55EB">
              <w:rPr>
                <w:rFonts w:ascii="Calibri" w:eastAsia="Calibri" w:hAnsi="Calibri" w:cs="Calibri"/>
                <w:color w:val="000000"/>
              </w:rPr>
              <w:t xml:space="preserve">Assessment Title </w:t>
            </w:r>
          </w:p>
        </w:tc>
        <w:tc>
          <w:tcPr>
            <w:tcW w:w="104" w:type="dxa"/>
            <w:vMerge w:val="restart"/>
            <w:tcBorders>
              <w:top w:val="single" w:sz="4" w:space="0" w:color="000000"/>
              <w:left w:val="single" w:sz="4" w:space="0" w:color="000000"/>
              <w:bottom w:val="single" w:sz="4" w:space="0" w:color="000000"/>
              <w:right w:val="nil"/>
            </w:tcBorders>
            <w:shd w:val="clear" w:color="auto" w:fill="BFBFBF"/>
          </w:tcPr>
          <w:p w14:paraId="0289C5E3" w14:textId="77777777" w:rsidR="005D55EB" w:rsidRPr="005D55EB" w:rsidRDefault="005D55EB" w:rsidP="005D55EB">
            <w:pPr>
              <w:spacing w:after="160" w:line="259" w:lineRule="auto"/>
              <w:rPr>
                <w:rFonts w:ascii="Calibri" w:eastAsia="Calibri" w:hAnsi="Calibri" w:cs="Calibri"/>
                <w:color w:val="000000"/>
              </w:rPr>
            </w:pPr>
          </w:p>
        </w:tc>
        <w:tc>
          <w:tcPr>
            <w:tcW w:w="1907" w:type="dxa"/>
            <w:gridSpan w:val="2"/>
            <w:tcBorders>
              <w:top w:val="single" w:sz="4" w:space="0" w:color="000000"/>
              <w:left w:val="nil"/>
              <w:bottom w:val="nil"/>
              <w:right w:val="nil"/>
            </w:tcBorders>
            <w:shd w:val="clear" w:color="auto" w:fill="FFFF00"/>
          </w:tcPr>
          <w:p w14:paraId="7A795813" w14:textId="7A68D342" w:rsidR="005D55EB" w:rsidRPr="005D55EB" w:rsidRDefault="005D55EB" w:rsidP="005D55EB">
            <w:pPr>
              <w:spacing w:line="259" w:lineRule="auto"/>
              <w:jc w:val="both"/>
              <w:rPr>
                <w:rFonts w:ascii="Calibri" w:eastAsia="Calibri" w:hAnsi="Calibri" w:cs="Calibri"/>
                <w:color w:val="000000"/>
              </w:rPr>
            </w:pPr>
          </w:p>
        </w:tc>
        <w:tc>
          <w:tcPr>
            <w:tcW w:w="4272" w:type="dxa"/>
            <w:vMerge w:val="restart"/>
            <w:tcBorders>
              <w:top w:val="single" w:sz="4" w:space="0" w:color="000000"/>
              <w:left w:val="nil"/>
              <w:bottom w:val="single" w:sz="4" w:space="0" w:color="000000"/>
              <w:right w:val="single" w:sz="4" w:space="0" w:color="000000"/>
            </w:tcBorders>
            <w:shd w:val="clear" w:color="auto" w:fill="BFBFBF"/>
          </w:tcPr>
          <w:p w14:paraId="1C34BD1B" w14:textId="67A17518" w:rsidR="005D55EB" w:rsidRPr="005D55EB" w:rsidRDefault="005D55EB" w:rsidP="005D55EB">
            <w:pPr>
              <w:spacing w:line="259" w:lineRule="auto"/>
              <w:rPr>
                <w:rFonts w:ascii="Calibri" w:eastAsia="Calibri" w:hAnsi="Calibri" w:cs="Calibri"/>
                <w:color w:val="000000"/>
              </w:rPr>
            </w:pPr>
            <w:r w:rsidRPr="005D55EB">
              <w:rPr>
                <w:rFonts w:ascii="Calibri" w:eastAsia="Calibri" w:hAnsi="Calibri" w:cs="Calibri"/>
                <w:color w:val="000000"/>
              </w:rPr>
              <w:t xml:space="preserve"> </w:t>
            </w:r>
          </w:p>
        </w:tc>
      </w:tr>
      <w:tr w:rsidR="005D55EB" w:rsidRPr="005D55EB" w14:paraId="3A4C79D4" w14:textId="77777777" w:rsidTr="00AD6A48">
        <w:trPr>
          <w:trHeight w:val="244"/>
        </w:trPr>
        <w:tc>
          <w:tcPr>
            <w:tcW w:w="0" w:type="auto"/>
            <w:vMerge/>
            <w:tcBorders>
              <w:top w:val="nil"/>
              <w:left w:val="single" w:sz="4" w:space="0" w:color="000000"/>
              <w:bottom w:val="single" w:sz="4" w:space="0" w:color="000000"/>
              <w:right w:val="single" w:sz="4" w:space="0" w:color="000000"/>
            </w:tcBorders>
          </w:tcPr>
          <w:p w14:paraId="03D79170" w14:textId="77777777" w:rsidR="005D55EB" w:rsidRPr="005D55EB" w:rsidRDefault="005D55EB" w:rsidP="005D55EB">
            <w:pPr>
              <w:spacing w:after="160" w:line="259" w:lineRule="auto"/>
              <w:rPr>
                <w:rFonts w:ascii="Calibri" w:eastAsia="Calibri" w:hAnsi="Calibri" w:cs="Calibri"/>
                <w:color w:val="000000"/>
              </w:rPr>
            </w:pPr>
          </w:p>
        </w:tc>
        <w:tc>
          <w:tcPr>
            <w:tcW w:w="0" w:type="auto"/>
            <w:vMerge/>
            <w:tcBorders>
              <w:top w:val="nil"/>
              <w:left w:val="single" w:sz="4" w:space="0" w:color="000000"/>
              <w:bottom w:val="single" w:sz="4" w:space="0" w:color="000000"/>
              <w:right w:val="nil"/>
            </w:tcBorders>
          </w:tcPr>
          <w:p w14:paraId="7FF3294F" w14:textId="77777777" w:rsidR="005D55EB" w:rsidRPr="005D55EB" w:rsidRDefault="005D55EB" w:rsidP="005D55EB">
            <w:pPr>
              <w:spacing w:after="160" w:line="259" w:lineRule="auto"/>
              <w:rPr>
                <w:rFonts w:ascii="Calibri" w:eastAsia="Calibri" w:hAnsi="Calibri" w:cs="Calibri"/>
                <w:color w:val="000000"/>
              </w:rPr>
            </w:pPr>
          </w:p>
        </w:tc>
        <w:tc>
          <w:tcPr>
            <w:tcW w:w="1907" w:type="dxa"/>
            <w:gridSpan w:val="2"/>
            <w:tcBorders>
              <w:top w:val="nil"/>
              <w:left w:val="nil"/>
              <w:bottom w:val="single" w:sz="4" w:space="0" w:color="000000"/>
              <w:right w:val="nil"/>
            </w:tcBorders>
            <w:shd w:val="clear" w:color="auto" w:fill="BFBFBF"/>
          </w:tcPr>
          <w:p w14:paraId="2E84C1AC" w14:textId="41D18262" w:rsidR="005D55EB" w:rsidRPr="005D55EB" w:rsidRDefault="0029199F" w:rsidP="005D55EB">
            <w:pPr>
              <w:spacing w:after="160" w:line="259" w:lineRule="auto"/>
              <w:rPr>
                <w:rFonts w:ascii="Calibri" w:eastAsia="Calibri" w:hAnsi="Calibri" w:cs="Calibri"/>
                <w:color w:val="000000"/>
              </w:rPr>
            </w:pPr>
            <w:r>
              <w:rPr>
                <w:rFonts w:ascii="Calibri" w:eastAsia="Calibri" w:hAnsi="Calibri" w:cs="Calibri"/>
                <w:color w:val="000000"/>
              </w:rPr>
              <w:t>Data Driven Decision for Business</w:t>
            </w:r>
          </w:p>
        </w:tc>
        <w:tc>
          <w:tcPr>
            <w:tcW w:w="0" w:type="auto"/>
            <w:vMerge/>
            <w:tcBorders>
              <w:top w:val="nil"/>
              <w:left w:val="nil"/>
              <w:bottom w:val="single" w:sz="4" w:space="0" w:color="000000"/>
              <w:right w:val="single" w:sz="4" w:space="0" w:color="000000"/>
            </w:tcBorders>
          </w:tcPr>
          <w:p w14:paraId="3606B4A2" w14:textId="77777777" w:rsidR="005D55EB" w:rsidRPr="005D55EB" w:rsidRDefault="005D55EB" w:rsidP="005D55EB">
            <w:pPr>
              <w:spacing w:after="160" w:line="259" w:lineRule="auto"/>
              <w:rPr>
                <w:rFonts w:ascii="Calibri" w:eastAsia="Calibri" w:hAnsi="Calibri" w:cs="Calibri"/>
                <w:color w:val="000000"/>
              </w:rPr>
            </w:pPr>
          </w:p>
        </w:tc>
      </w:tr>
    </w:tbl>
    <w:p w14:paraId="22EA7EBA" w14:textId="77777777" w:rsidR="005D55EB" w:rsidRPr="005D55EB" w:rsidRDefault="005D55EB" w:rsidP="005D55EB">
      <w:pPr>
        <w:spacing w:after="218"/>
        <w:ind w:left="5"/>
        <w:rPr>
          <w:rFonts w:ascii="Calibri" w:eastAsia="Calibri" w:hAnsi="Calibri" w:cs="Calibri"/>
          <w:color w:val="000000"/>
          <w:kern w:val="2"/>
          <w:szCs w:val="24"/>
          <w14:ligatures w14:val="standardContextual"/>
        </w:rPr>
      </w:pPr>
      <w:r w:rsidRPr="005D55EB">
        <w:rPr>
          <w:rFonts w:ascii="Calibri" w:eastAsia="Calibri" w:hAnsi="Calibri" w:cs="Calibri"/>
          <w:color w:val="000000"/>
          <w:kern w:val="2"/>
          <w:szCs w:val="24"/>
          <w14:ligatures w14:val="standardContextual"/>
        </w:rPr>
        <w:t xml:space="preserve"> </w:t>
      </w:r>
    </w:p>
    <w:p w14:paraId="190C6EB4" w14:textId="77777777" w:rsidR="005D55EB" w:rsidRPr="005D55EB" w:rsidRDefault="005D55EB" w:rsidP="005D55EB">
      <w:pPr>
        <w:spacing w:after="0" w:line="264" w:lineRule="auto"/>
        <w:ind w:right="133" w:hanging="10"/>
        <w:rPr>
          <w:rFonts w:ascii="Calibri" w:eastAsia="Calibri" w:hAnsi="Calibri" w:cs="Calibri"/>
          <w:color w:val="000000"/>
          <w:kern w:val="2"/>
          <w:szCs w:val="24"/>
          <w14:ligatures w14:val="standardContextual"/>
        </w:rPr>
      </w:pPr>
      <w:r w:rsidRPr="005D55EB">
        <w:rPr>
          <w:rFonts w:ascii="Calibri" w:eastAsia="Calibri" w:hAnsi="Calibri" w:cs="Calibri"/>
          <w:color w:val="000000"/>
          <w:kern w:val="2"/>
          <w:szCs w:val="24"/>
          <w14:ligatures w14:val="standardContextual"/>
        </w:rPr>
        <w:t xml:space="preserve">Please complete the yellow sections in the below declaration : </w:t>
      </w:r>
    </w:p>
    <w:tbl>
      <w:tblPr>
        <w:tblStyle w:val="TableGrid0"/>
        <w:tblW w:w="9018" w:type="dxa"/>
        <w:tblInd w:w="10" w:type="dxa"/>
        <w:tblCellMar>
          <w:top w:w="46" w:type="dxa"/>
        </w:tblCellMar>
        <w:tblLook w:val="04A0" w:firstRow="1" w:lastRow="0" w:firstColumn="1" w:lastColumn="0" w:noHBand="0" w:noVBand="1"/>
      </w:tblPr>
      <w:tblGrid>
        <w:gridCol w:w="1992"/>
        <w:gridCol w:w="2182"/>
        <w:gridCol w:w="2303"/>
        <w:gridCol w:w="1876"/>
        <w:gridCol w:w="665"/>
      </w:tblGrid>
      <w:tr w:rsidR="005D55EB" w:rsidRPr="005D55EB" w14:paraId="6CC8BD13" w14:textId="77777777" w:rsidTr="00AD6A48">
        <w:trPr>
          <w:trHeight w:val="2530"/>
        </w:trPr>
        <w:tc>
          <w:tcPr>
            <w:tcW w:w="9018" w:type="dxa"/>
            <w:gridSpan w:val="5"/>
            <w:tcBorders>
              <w:top w:val="single" w:sz="4" w:space="0" w:color="000000"/>
              <w:left w:val="single" w:sz="4" w:space="0" w:color="000000"/>
              <w:bottom w:val="nil"/>
              <w:right w:val="single" w:sz="4" w:space="0" w:color="000000"/>
            </w:tcBorders>
            <w:vAlign w:val="bottom"/>
          </w:tcPr>
          <w:p w14:paraId="0CFFADA9" w14:textId="77777777" w:rsidR="005D55EB" w:rsidRPr="005D55EB" w:rsidRDefault="005D55EB" w:rsidP="005D55EB">
            <w:pPr>
              <w:spacing w:after="238" w:line="259" w:lineRule="auto"/>
              <w:ind w:left="192"/>
              <w:rPr>
                <w:rFonts w:ascii="Calibri" w:eastAsia="Calibri" w:hAnsi="Calibri" w:cs="Calibri"/>
                <w:color w:val="000000"/>
              </w:rPr>
            </w:pPr>
            <w:r w:rsidRPr="005D55EB">
              <w:rPr>
                <w:rFonts w:ascii="Calibri" w:eastAsia="Calibri" w:hAnsi="Calibri" w:cs="Calibri"/>
                <w:color w:val="000000"/>
                <w:u w:val="single" w:color="000000"/>
              </w:rPr>
              <w:t>Declaration of Original Work</w:t>
            </w:r>
            <w:r w:rsidRPr="005D55EB">
              <w:rPr>
                <w:rFonts w:ascii="Calibri" w:eastAsia="Calibri" w:hAnsi="Calibri" w:cs="Calibri"/>
                <w:color w:val="000000"/>
              </w:rPr>
              <w:t xml:space="preserve">:  </w:t>
            </w:r>
            <w:r w:rsidRPr="005D55EB">
              <w:rPr>
                <w:rFonts w:ascii="Times New Roman" w:hAnsi="Times New Roman" w:cs="Times New Roman"/>
                <w:color w:val="010302"/>
              </w:rPr>
              <w:t xml:space="preserve"> </w:t>
            </w:r>
          </w:p>
          <w:p w14:paraId="47B5DDB2" w14:textId="36EAB9A1" w:rsidR="005D55EB" w:rsidRPr="005D55EB" w:rsidRDefault="005D55EB" w:rsidP="005D55EB">
            <w:pPr>
              <w:spacing w:after="191" w:line="253" w:lineRule="auto"/>
              <w:ind w:left="192" w:right="182"/>
              <w:jc w:val="both"/>
              <w:rPr>
                <w:rFonts w:ascii="Calibri" w:eastAsia="Calibri" w:hAnsi="Calibri" w:cs="Calibri"/>
                <w:color w:val="000000"/>
              </w:rPr>
            </w:pPr>
            <w:r w:rsidRPr="005D55EB">
              <w:rPr>
                <w:rFonts w:ascii="Calibri" w:eastAsia="Calibri" w:hAnsi="Calibri" w:cs="Calibri"/>
                <w:color w:val="000000"/>
              </w:rPr>
              <w:t xml:space="preserve">I hereby declare that I have read and understood BPP’s regulations on plagiarism and that this is my original work, researched, undertaken, completed and submitted in accordance with the requirement of BPP School of Business and Technology.   </w:t>
            </w:r>
            <w:r w:rsidRPr="005D55EB">
              <w:rPr>
                <w:rFonts w:ascii="Times New Roman" w:hAnsi="Times New Roman" w:cs="Times New Roman"/>
                <w:color w:val="010302"/>
              </w:rPr>
              <w:t xml:space="preserve"> </w:t>
            </w:r>
          </w:p>
          <w:p w14:paraId="2706E370" w14:textId="3D6FDFEC" w:rsidR="005D55EB" w:rsidRPr="005D55EB" w:rsidRDefault="005D55EB" w:rsidP="005D55EB">
            <w:pPr>
              <w:spacing w:after="184" w:line="259" w:lineRule="auto"/>
              <w:ind w:left="192"/>
              <w:rPr>
                <w:rFonts w:ascii="Calibri" w:eastAsia="Calibri" w:hAnsi="Calibri" w:cs="Calibri"/>
                <w:color w:val="000000"/>
              </w:rPr>
            </w:pPr>
            <w:r w:rsidRPr="005D55EB">
              <w:rPr>
                <w:rFonts w:ascii="Calibri" w:eastAsia="Calibri" w:hAnsi="Calibri" w:cs="Calibri"/>
                <w:color w:val="000000"/>
              </w:rPr>
              <w:t xml:space="preserve">The word count, </w:t>
            </w:r>
            <w:r w:rsidR="009E191B">
              <w:rPr>
                <w:rFonts w:ascii="Calibri" w:eastAsia="Calibri" w:hAnsi="Calibri" w:cs="Calibri"/>
                <w:color w:val="000000"/>
              </w:rPr>
              <w:t>ex</w:t>
            </w:r>
            <w:r w:rsidR="00C2439B">
              <w:rPr>
                <w:rFonts w:ascii="Calibri" w:eastAsia="Calibri" w:hAnsi="Calibri" w:cs="Calibri"/>
                <w:color w:val="000000"/>
              </w:rPr>
              <w:t>cluding</w:t>
            </w:r>
            <w:r w:rsidRPr="005D55EB">
              <w:rPr>
                <w:rFonts w:ascii="Calibri" w:eastAsia="Calibri" w:hAnsi="Calibri" w:cs="Calibri"/>
                <w:color w:val="000000"/>
              </w:rPr>
              <w:t xml:space="preserve"> contents table, bibliography and appendices, is </w:t>
            </w:r>
            <w:r w:rsidR="00C2439B">
              <w:rPr>
                <w:rFonts w:ascii="Calibri" w:eastAsia="Calibri" w:hAnsi="Calibri" w:cs="Calibri"/>
                <w:color w:val="000000"/>
              </w:rPr>
              <w:t>roughly</w:t>
            </w:r>
            <w:r w:rsidRPr="005D55EB">
              <w:rPr>
                <w:rFonts w:ascii="Calibri" w:eastAsia="Calibri" w:hAnsi="Calibri" w:cs="Calibri"/>
                <w:color w:val="000000"/>
                <w:shd w:val="clear" w:color="auto" w:fill="FFFF00"/>
              </w:rPr>
              <w:t>_</w:t>
            </w:r>
            <w:r w:rsidR="003A3321">
              <w:rPr>
                <w:rFonts w:ascii="Calibri" w:eastAsia="Calibri" w:hAnsi="Calibri" w:cs="Calibri"/>
                <w:color w:val="000000"/>
                <w:shd w:val="clear" w:color="auto" w:fill="FFFF00"/>
              </w:rPr>
              <w:t>24</w:t>
            </w:r>
            <w:r w:rsidR="00A72740">
              <w:rPr>
                <w:rFonts w:ascii="Calibri" w:eastAsia="Calibri" w:hAnsi="Calibri" w:cs="Calibri"/>
                <w:color w:val="000000"/>
                <w:shd w:val="clear" w:color="auto" w:fill="FFFF00"/>
              </w:rPr>
              <w:t>43</w:t>
            </w:r>
            <w:r w:rsidRPr="005D55EB">
              <w:rPr>
                <w:rFonts w:ascii="Calibri" w:eastAsia="Calibri" w:hAnsi="Calibri" w:cs="Calibri"/>
                <w:color w:val="000000"/>
                <w:shd w:val="clear" w:color="auto" w:fill="FFFF00"/>
              </w:rPr>
              <w:t>_____</w:t>
            </w:r>
            <w:r w:rsidRPr="005D55EB">
              <w:rPr>
                <w:rFonts w:ascii="Calibri" w:eastAsia="Calibri" w:hAnsi="Calibri" w:cs="Calibri"/>
                <w:color w:val="000000"/>
              </w:rPr>
              <w:t xml:space="preserve"> words.   </w:t>
            </w:r>
          </w:p>
          <w:p w14:paraId="4E4FF722" w14:textId="77777777" w:rsidR="005D55EB" w:rsidRPr="005D55EB" w:rsidRDefault="005D55EB" w:rsidP="005D55EB">
            <w:pPr>
              <w:spacing w:line="259" w:lineRule="auto"/>
              <w:ind w:left="192"/>
              <w:rPr>
                <w:rFonts w:ascii="Calibri" w:eastAsia="Calibri" w:hAnsi="Calibri" w:cs="Calibri"/>
                <w:color w:val="000000"/>
              </w:rPr>
            </w:pPr>
            <w:r w:rsidRPr="005D55EB">
              <w:rPr>
                <w:rFonts w:ascii="Times New Roman" w:hAnsi="Times New Roman" w:cs="Times New Roman"/>
                <w:color w:val="010302"/>
              </w:rPr>
              <w:t xml:space="preserve"> </w:t>
            </w:r>
          </w:p>
        </w:tc>
      </w:tr>
      <w:tr w:rsidR="005D55EB" w:rsidRPr="005D55EB" w14:paraId="5C55E1B7" w14:textId="77777777" w:rsidTr="00AD6A48">
        <w:trPr>
          <w:trHeight w:val="273"/>
        </w:trPr>
        <w:tc>
          <w:tcPr>
            <w:tcW w:w="2775" w:type="dxa"/>
            <w:tcBorders>
              <w:top w:val="nil"/>
              <w:left w:val="single" w:sz="4" w:space="0" w:color="000000"/>
              <w:bottom w:val="single" w:sz="4" w:space="0" w:color="000000"/>
              <w:right w:val="nil"/>
            </w:tcBorders>
          </w:tcPr>
          <w:p w14:paraId="6C0A670E" w14:textId="77777777" w:rsidR="005D55EB" w:rsidRPr="005D55EB" w:rsidRDefault="005D55EB" w:rsidP="005D55EB">
            <w:pPr>
              <w:spacing w:line="259" w:lineRule="auto"/>
              <w:ind w:left="110"/>
              <w:rPr>
                <w:rFonts w:ascii="Calibri" w:eastAsia="Calibri" w:hAnsi="Calibri" w:cs="Calibri"/>
                <w:color w:val="000000"/>
              </w:rPr>
            </w:pPr>
            <w:r w:rsidRPr="005D55EB">
              <w:rPr>
                <w:rFonts w:ascii="Calibri" w:eastAsia="Calibri" w:hAnsi="Calibri" w:cs="Calibri"/>
                <w:color w:val="000000"/>
              </w:rPr>
              <w:t>Student Reference Number: _</w:t>
            </w:r>
          </w:p>
        </w:tc>
        <w:tc>
          <w:tcPr>
            <w:tcW w:w="984" w:type="dxa"/>
            <w:tcBorders>
              <w:top w:val="nil"/>
              <w:left w:val="nil"/>
              <w:bottom w:val="single" w:sz="4" w:space="0" w:color="000000"/>
              <w:right w:val="nil"/>
            </w:tcBorders>
            <w:shd w:val="clear" w:color="auto" w:fill="FFFF00"/>
          </w:tcPr>
          <w:p w14:paraId="66206651" w14:textId="493F458C" w:rsidR="005D55EB" w:rsidRPr="005D55EB" w:rsidRDefault="005D55EB" w:rsidP="005D55EB">
            <w:pPr>
              <w:spacing w:line="259" w:lineRule="auto"/>
              <w:ind w:right="-3"/>
              <w:jc w:val="both"/>
              <w:rPr>
                <w:rFonts w:ascii="Calibri" w:eastAsia="Calibri" w:hAnsi="Calibri" w:cs="Calibri"/>
                <w:color w:val="000000"/>
              </w:rPr>
            </w:pPr>
            <w:r w:rsidRPr="005D55EB">
              <w:rPr>
                <w:rFonts w:ascii="Calibri" w:eastAsia="Calibri" w:hAnsi="Calibri" w:cs="Calibri"/>
                <w:color w:val="000000"/>
              </w:rPr>
              <w:t>__</w:t>
            </w:r>
            <w:r w:rsidR="00C2439B">
              <w:rPr>
                <w:rFonts w:ascii="Calibri" w:eastAsia="Calibri" w:hAnsi="Calibri" w:cs="Calibri"/>
                <w:color w:val="000000"/>
              </w:rPr>
              <w:t>BP0293328</w:t>
            </w:r>
            <w:r w:rsidRPr="005D55EB">
              <w:rPr>
                <w:rFonts w:ascii="Calibri" w:eastAsia="Calibri" w:hAnsi="Calibri" w:cs="Calibri"/>
                <w:color w:val="000000"/>
              </w:rPr>
              <w:t>_______</w:t>
            </w:r>
          </w:p>
        </w:tc>
        <w:tc>
          <w:tcPr>
            <w:tcW w:w="3362" w:type="dxa"/>
            <w:tcBorders>
              <w:top w:val="nil"/>
              <w:left w:val="nil"/>
              <w:bottom w:val="single" w:sz="4" w:space="0" w:color="000000"/>
              <w:right w:val="nil"/>
            </w:tcBorders>
          </w:tcPr>
          <w:p w14:paraId="0402105D" w14:textId="77777777" w:rsidR="005D55EB" w:rsidRPr="005D55EB" w:rsidRDefault="005D55EB" w:rsidP="005D55EB">
            <w:pPr>
              <w:tabs>
                <w:tab w:val="center" w:pos="673"/>
                <w:tab w:val="center" w:pos="1393"/>
                <w:tab w:val="center" w:pos="2113"/>
                <w:tab w:val="right" w:pos="3362"/>
              </w:tabs>
              <w:spacing w:line="259" w:lineRule="auto"/>
              <w:rPr>
                <w:rFonts w:ascii="Calibri" w:eastAsia="Calibri" w:hAnsi="Calibri" w:cs="Calibri"/>
                <w:color w:val="000000"/>
              </w:rPr>
            </w:pPr>
            <w:r w:rsidRPr="005D55EB">
              <w:rPr>
                <w:rFonts w:ascii="Calibri" w:eastAsia="Calibri" w:hAnsi="Calibri" w:cs="Calibri"/>
                <w:color w:val="000000"/>
              </w:rPr>
              <w:t xml:space="preserve"> </w:t>
            </w:r>
            <w:r w:rsidRPr="005D55EB">
              <w:rPr>
                <w:rFonts w:ascii="Calibri" w:eastAsia="Calibri" w:hAnsi="Calibri" w:cs="Calibri"/>
                <w:color w:val="000000"/>
              </w:rPr>
              <w:tab/>
              <w:t xml:space="preserve">  </w:t>
            </w:r>
            <w:r w:rsidRPr="005D55EB">
              <w:rPr>
                <w:rFonts w:ascii="Calibri" w:eastAsia="Calibri" w:hAnsi="Calibri" w:cs="Calibri"/>
                <w:color w:val="000000"/>
              </w:rPr>
              <w:tab/>
              <w:t xml:space="preserve">  </w:t>
            </w:r>
            <w:r w:rsidRPr="005D55EB">
              <w:rPr>
                <w:rFonts w:ascii="Calibri" w:eastAsia="Calibri" w:hAnsi="Calibri" w:cs="Calibri"/>
                <w:color w:val="000000"/>
              </w:rPr>
              <w:tab/>
              <w:t xml:space="preserve">   </w:t>
            </w:r>
            <w:r w:rsidRPr="005D55EB">
              <w:rPr>
                <w:rFonts w:ascii="Calibri" w:eastAsia="Calibri" w:hAnsi="Calibri" w:cs="Calibri"/>
                <w:color w:val="000000"/>
              </w:rPr>
              <w:tab/>
              <w:t xml:space="preserve">Date: </w:t>
            </w:r>
          </w:p>
        </w:tc>
        <w:tc>
          <w:tcPr>
            <w:tcW w:w="662" w:type="dxa"/>
            <w:tcBorders>
              <w:top w:val="nil"/>
              <w:left w:val="nil"/>
              <w:bottom w:val="single" w:sz="4" w:space="0" w:color="000000"/>
              <w:right w:val="nil"/>
            </w:tcBorders>
            <w:shd w:val="clear" w:color="auto" w:fill="FFFF00"/>
          </w:tcPr>
          <w:p w14:paraId="5E3A7894" w14:textId="61830E83" w:rsidR="005D55EB" w:rsidRPr="005D55EB" w:rsidRDefault="005D55EB" w:rsidP="005D55EB">
            <w:pPr>
              <w:spacing w:line="259" w:lineRule="auto"/>
              <w:jc w:val="both"/>
              <w:rPr>
                <w:rFonts w:ascii="Calibri" w:eastAsia="Calibri" w:hAnsi="Calibri" w:cs="Calibri"/>
                <w:color w:val="000000"/>
              </w:rPr>
            </w:pPr>
            <w:r w:rsidRPr="005D55EB">
              <w:rPr>
                <w:rFonts w:ascii="Calibri" w:eastAsia="Calibri" w:hAnsi="Calibri" w:cs="Calibri"/>
                <w:color w:val="000000"/>
              </w:rPr>
              <w:t>___</w:t>
            </w:r>
            <w:r w:rsidR="00C2439B">
              <w:rPr>
                <w:rFonts w:ascii="Calibri" w:eastAsia="Calibri" w:hAnsi="Calibri" w:cs="Calibri"/>
                <w:color w:val="000000"/>
              </w:rPr>
              <w:t>02/06/2025</w:t>
            </w:r>
            <w:r w:rsidRPr="005D55EB">
              <w:rPr>
                <w:rFonts w:ascii="Calibri" w:eastAsia="Calibri" w:hAnsi="Calibri" w:cs="Calibri"/>
                <w:color w:val="000000"/>
              </w:rPr>
              <w:t>___</w:t>
            </w:r>
          </w:p>
        </w:tc>
        <w:tc>
          <w:tcPr>
            <w:tcW w:w="1234" w:type="dxa"/>
            <w:tcBorders>
              <w:top w:val="nil"/>
              <w:left w:val="nil"/>
              <w:bottom w:val="single" w:sz="4" w:space="0" w:color="000000"/>
              <w:right w:val="single" w:sz="4" w:space="0" w:color="000000"/>
            </w:tcBorders>
          </w:tcPr>
          <w:p w14:paraId="0430B9D5" w14:textId="77777777" w:rsidR="005D55EB" w:rsidRPr="005D55EB" w:rsidRDefault="005D55EB" w:rsidP="005D55EB">
            <w:pPr>
              <w:spacing w:line="259" w:lineRule="auto"/>
              <w:rPr>
                <w:rFonts w:ascii="Calibri" w:eastAsia="Calibri" w:hAnsi="Calibri" w:cs="Calibri"/>
                <w:color w:val="000000"/>
              </w:rPr>
            </w:pPr>
            <w:r w:rsidRPr="005D55EB">
              <w:rPr>
                <w:rFonts w:ascii="Calibri" w:eastAsia="Calibri" w:hAnsi="Calibri" w:cs="Calibri"/>
                <w:color w:val="000000"/>
              </w:rPr>
              <w:t xml:space="preserve">    </w:t>
            </w:r>
          </w:p>
        </w:tc>
      </w:tr>
    </w:tbl>
    <w:p w14:paraId="65C1124E" w14:textId="77777777" w:rsidR="005D55EB" w:rsidRPr="005D55EB" w:rsidRDefault="005D55EB" w:rsidP="005D55EB">
      <w:pPr>
        <w:spacing w:after="218"/>
        <w:ind w:left="5"/>
        <w:rPr>
          <w:rFonts w:ascii="Calibri" w:eastAsia="Calibri" w:hAnsi="Calibri" w:cs="Calibri"/>
          <w:color w:val="000000"/>
          <w:kern w:val="2"/>
          <w:szCs w:val="24"/>
          <w14:ligatures w14:val="standardContextual"/>
        </w:rPr>
      </w:pPr>
      <w:r w:rsidRPr="005D55EB">
        <w:rPr>
          <w:rFonts w:ascii="Calibri" w:eastAsia="Calibri" w:hAnsi="Calibri" w:cs="Calibri"/>
          <w:color w:val="000000"/>
          <w:kern w:val="2"/>
          <w:szCs w:val="24"/>
          <w14:ligatures w14:val="standardContextual"/>
        </w:rPr>
        <w:t xml:space="preserve"> </w:t>
      </w:r>
    </w:p>
    <w:p w14:paraId="3AE81899" w14:textId="77777777" w:rsidR="005D55EB" w:rsidRPr="005D55EB" w:rsidRDefault="005D55EB" w:rsidP="005D55EB">
      <w:pPr>
        <w:spacing w:after="218"/>
        <w:ind w:left="5"/>
        <w:rPr>
          <w:rFonts w:ascii="Calibri" w:eastAsia="Calibri" w:hAnsi="Calibri" w:cs="Calibri"/>
          <w:color w:val="000000"/>
          <w:kern w:val="2"/>
          <w:szCs w:val="24"/>
          <w14:ligatures w14:val="standardContextual"/>
        </w:rPr>
      </w:pPr>
      <w:r w:rsidRPr="005D55EB">
        <w:rPr>
          <w:rFonts w:ascii="Calibri" w:eastAsia="Calibri" w:hAnsi="Calibri" w:cs="Calibri"/>
          <w:color w:val="000000"/>
          <w:kern w:val="2"/>
          <w:szCs w:val="24"/>
          <w14:ligatures w14:val="standardContextual"/>
        </w:rPr>
        <w:t xml:space="preserve"> </w:t>
      </w:r>
    </w:p>
    <w:p w14:paraId="75046C63" w14:textId="3C23F1FD" w:rsidR="005D55EB" w:rsidRPr="005D55EB" w:rsidRDefault="005D55EB" w:rsidP="005D55EB">
      <w:pPr>
        <w:spacing w:after="211" w:line="264" w:lineRule="auto"/>
        <w:ind w:right="133" w:hanging="10"/>
        <w:rPr>
          <w:rFonts w:ascii="Calibri" w:eastAsia="Calibri" w:hAnsi="Calibri" w:cs="Calibri"/>
          <w:color w:val="000000"/>
          <w:kern w:val="2"/>
          <w:szCs w:val="24"/>
          <w14:ligatures w14:val="standardContextual"/>
        </w:rPr>
      </w:pPr>
      <w:r w:rsidRPr="005D55EB">
        <w:rPr>
          <w:rFonts w:ascii="Calibri" w:eastAsia="Calibri" w:hAnsi="Calibri" w:cs="Calibri"/>
          <w:color w:val="000000"/>
          <w:kern w:val="2"/>
          <w:szCs w:val="24"/>
          <w14:ligatures w14:val="standardContextual"/>
        </w:rPr>
        <w:lastRenderedPageBreak/>
        <w:t>By submitting this course</w:t>
      </w:r>
      <w:r w:rsidR="0029199F">
        <w:rPr>
          <w:rFonts w:ascii="Calibri" w:eastAsia="Calibri" w:hAnsi="Calibri" w:cs="Calibri"/>
          <w:color w:val="000000"/>
          <w:kern w:val="2"/>
          <w:szCs w:val="24"/>
          <w14:ligatures w14:val="standardContextual"/>
        </w:rPr>
        <w:t xml:space="preserve"> </w:t>
      </w:r>
      <w:r w:rsidRPr="005D55EB">
        <w:rPr>
          <w:rFonts w:ascii="Calibri" w:eastAsia="Calibri" w:hAnsi="Calibri" w:cs="Calibri"/>
          <w:color w:val="000000"/>
          <w:kern w:val="2"/>
          <w:szCs w:val="24"/>
          <w14:ligatures w14:val="standardContextual"/>
        </w:rPr>
        <w:t xml:space="preserve">work you agree to all rules and regulations of BPP regarding assessments and awards for program.  </w:t>
      </w:r>
    </w:p>
    <w:p w14:paraId="45BF04C1" w14:textId="77777777" w:rsidR="005D55EB" w:rsidRPr="005D55EB" w:rsidRDefault="005D55EB" w:rsidP="005D55EB">
      <w:pPr>
        <w:spacing w:after="210" w:line="264" w:lineRule="auto"/>
        <w:ind w:right="133" w:hanging="10"/>
        <w:rPr>
          <w:rFonts w:ascii="Calibri" w:eastAsia="Calibri" w:hAnsi="Calibri" w:cs="Calibri"/>
          <w:color w:val="000000"/>
          <w:kern w:val="2"/>
          <w:szCs w:val="24"/>
          <w14:ligatures w14:val="standardContextual"/>
        </w:rPr>
      </w:pPr>
      <w:r w:rsidRPr="005D55EB">
        <w:rPr>
          <w:rFonts w:ascii="Calibri" w:eastAsia="Calibri" w:hAnsi="Calibri" w:cs="Calibri"/>
          <w:color w:val="000000"/>
          <w:kern w:val="2"/>
          <w:szCs w:val="24"/>
          <w14:ligatures w14:val="standardContextual"/>
        </w:rPr>
        <w:t xml:space="preserve">Please note that by submitting this assessment you are declaring that you are fit to sit this assessment.  </w:t>
      </w:r>
    </w:p>
    <w:p w14:paraId="46F9A52E" w14:textId="4C264471" w:rsidR="005D55EB" w:rsidRDefault="005D55EB" w:rsidP="005D55EB">
      <w:r w:rsidRPr="005D55EB">
        <w:rPr>
          <w:rFonts w:ascii="Calibri" w:eastAsia="Calibri" w:hAnsi="Calibri" w:cs="Calibri"/>
          <w:color w:val="000000"/>
          <w:kern w:val="2"/>
          <w:szCs w:val="24"/>
          <w14:ligatures w14:val="standardContextual"/>
        </w:rPr>
        <w:t>BPP University reserves the right to use all submitted work for educational purposes and may request that work be published for a wider audience</w:t>
      </w:r>
      <w:r>
        <w:rPr>
          <w:b/>
        </w:rPr>
        <w:br w:type="page"/>
      </w:r>
    </w:p>
    <w:sdt>
      <w:sdtPr>
        <w:rPr>
          <w:rFonts w:eastAsiaTheme="minorHAnsi" w:cstheme="minorBidi"/>
          <w:b w:val="0"/>
          <w:color w:val="auto"/>
          <w:sz w:val="22"/>
          <w:szCs w:val="22"/>
        </w:rPr>
        <w:id w:val="2056502479"/>
        <w:docPartObj>
          <w:docPartGallery w:val="Table of Contents"/>
          <w:docPartUnique/>
        </w:docPartObj>
      </w:sdtPr>
      <w:sdtEndPr>
        <w:rPr>
          <w:bCs/>
          <w:noProof/>
        </w:rPr>
      </w:sdtEndPr>
      <w:sdtContent>
        <w:p w14:paraId="030081D8" w14:textId="346CA4C3" w:rsidR="00B875DB" w:rsidRPr="00B875DB" w:rsidRDefault="00B875DB">
          <w:pPr>
            <w:pStyle w:val="TOCHeading"/>
            <w:rPr>
              <w:rFonts w:cstheme="minorHAnsi"/>
              <w:b w:val="0"/>
            </w:rPr>
          </w:pPr>
          <w:r w:rsidRPr="00B875DB">
            <w:rPr>
              <w:rFonts w:cstheme="minorHAnsi"/>
            </w:rPr>
            <w:t>Table of Contents</w:t>
          </w:r>
        </w:p>
        <w:p w14:paraId="287B3D2A" w14:textId="05E76FD8" w:rsidR="008C5FE6" w:rsidRDefault="00B875DB">
          <w:pPr>
            <w:pStyle w:val="TOC1"/>
            <w:tabs>
              <w:tab w:val="right" w:leader="dot" w:pos="9350"/>
            </w:tabs>
            <w:rPr>
              <w:rFonts w:eastAsiaTheme="minorEastAsia"/>
              <w:noProof/>
              <w:kern w:val="2"/>
              <w:sz w:val="24"/>
              <w:szCs w:val="24"/>
              <w:lang w:val="en-GB" w:eastAsia="en-GB"/>
              <w14:ligatures w14:val="standardContextual"/>
            </w:rPr>
          </w:pPr>
          <w:r w:rsidRPr="00252E86">
            <w:rPr>
              <w:b/>
              <w:bCs/>
              <w:sz w:val="24"/>
              <w:szCs w:val="24"/>
            </w:rPr>
            <w:fldChar w:fldCharType="begin"/>
          </w:r>
          <w:r w:rsidRPr="00252E86">
            <w:rPr>
              <w:b/>
              <w:bCs/>
              <w:sz w:val="24"/>
              <w:szCs w:val="24"/>
            </w:rPr>
            <w:instrText xml:space="preserve"> TOC \o "1-3" \h \z \u </w:instrText>
          </w:r>
          <w:r w:rsidRPr="00252E86">
            <w:rPr>
              <w:b/>
              <w:bCs/>
              <w:sz w:val="24"/>
              <w:szCs w:val="24"/>
            </w:rPr>
            <w:fldChar w:fldCharType="separate"/>
          </w:r>
          <w:hyperlink w:anchor="_Toc189824297" w:history="1">
            <w:r w:rsidR="008C5FE6" w:rsidRPr="00DF0895">
              <w:rPr>
                <w:rStyle w:val="Hyperlink"/>
                <w:rFonts w:ascii="Calibri" w:eastAsia="Calibri" w:hAnsi="Calibri" w:cs="Calibri"/>
                <w:b/>
                <w:noProof/>
              </w:rPr>
              <w:t>Coursework Cover Sheet</w:t>
            </w:r>
            <w:r w:rsidR="008C5FE6">
              <w:rPr>
                <w:noProof/>
                <w:webHidden/>
              </w:rPr>
              <w:tab/>
            </w:r>
            <w:r w:rsidR="008C5FE6">
              <w:rPr>
                <w:noProof/>
                <w:webHidden/>
              </w:rPr>
              <w:fldChar w:fldCharType="begin"/>
            </w:r>
            <w:r w:rsidR="008C5FE6">
              <w:rPr>
                <w:noProof/>
                <w:webHidden/>
              </w:rPr>
              <w:instrText xml:space="preserve"> PAGEREF _Toc189824297 \h </w:instrText>
            </w:r>
            <w:r w:rsidR="008C5FE6">
              <w:rPr>
                <w:noProof/>
                <w:webHidden/>
              </w:rPr>
            </w:r>
            <w:r w:rsidR="008C5FE6">
              <w:rPr>
                <w:noProof/>
                <w:webHidden/>
              </w:rPr>
              <w:fldChar w:fldCharType="separate"/>
            </w:r>
            <w:r w:rsidR="008C5FE6">
              <w:rPr>
                <w:noProof/>
                <w:webHidden/>
              </w:rPr>
              <w:t>1</w:t>
            </w:r>
            <w:r w:rsidR="008C5FE6">
              <w:rPr>
                <w:noProof/>
                <w:webHidden/>
              </w:rPr>
              <w:fldChar w:fldCharType="end"/>
            </w:r>
          </w:hyperlink>
        </w:p>
        <w:p w14:paraId="1AE636A6" w14:textId="2E3100FF" w:rsidR="008C5FE6" w:rsidRDefault="008C5FE6">
          <w:pPr>
            <w:pStyle w:val="TOC1"/>
            <w:tabs>
              <w:tab w:val="right" w:leader="dot" w:pos="9350"/>
            </w:tabs>
            <w:rPr>
              <w:rFonts w:eastAsiaTheme="minorEastAsia"/>
              <w:noProof/>
              <w:kern w:val="2"/>
              <w:sz w:val="24"/>
              <w:szCs w:val="24"/>
              <w:lang w:val="en-GB" w:eastAsia="en-GB"/>
              <w14:ligatures w14:val="standardContextual"/>
            </w:rPr>
          </w:pPr>
          <w:hyperlink w:anchor="_Toc189824298" w:history="1">
            <w:r w:rsidRPr="00DF0895">
              <w:rPr>
                <w:rStyle w:val="Hyperlink"/>
                <w:rFonts w:cstheme="minorHAnsi"/>
                <w:noProof/>
              </w:rPr>
              <w:t>Introduction</w:t>
            </w:r>
            <w:r>
              <w:rPr>
                <w:noProof/>
                <w:webHidden/>
              </w:rPr>
              <w:tab/>
            </w:r>
            <w:r>
              <w:rPr>
                <w:noProof/>
                <w:webHidden/>
              </w:rPr>
              <w:fldChar w:fldCharType="begin"/>
            </w:r>
            <w:r>
              <w:rPr>
                <w:noProof/>
                <w:webHidden/>
              </w:rPr>
              <w:instrText xml:space="preserve"> PAGEREF _Toc189824298 \h </w:instrText>
            </w:r>
            <w:r>
              <w:rPr>
                <w:noProof/>
                <w:webHidden/>
              </w:rPr>
            </w:r>
            <w:r>
              <w:rPr>
                <w:noProof/>
                <w:webHidden/>
              </w:rPr>
              <w:fldChar w:fldCharType="separate"/>
            </w:r>
            <w:r>
              <w:rPr>
                <w:noProof/>
                <w:webHidden/>
              </w:rPr>
              <w:t>5</w:t>
            </w:r>
            <w:r>
              <w:rPr>
                <w:noProof/>
                <w:webHidden/>
              </w:rPr>
              <w:fldChar w:fldCharType="end"/>
            </w:r>
          </w:hyperlink>
        </w:p>
        <w:p w14:paraId="0CCB2F3C" w14:textId="77445229" w:rsidR="008C5FE6" w:rsidRDefault="008C5FE6">
          <w:pPr>
            <w:pStyle w:val="TOC1"/>
            <w:tabs>
              <w:tab w:val="right" w:leader="dot" w:pos="9350"/>
            </w:tabs>
            <w:rPr>
              <w:rFonts w:eastAsiaTheme="minorEastAsia"/>
              <w:noProof/>
              <w:kern w:val="2"/>
              <w:sz w:val="24"/>
              <w:szCs w:val="24"/>
              <w:lang w:val="en-GB" w:eastAsia="en-GB"/>
              <w14:ligatures w14:val="standardContextual"/>
            </w:rPr>
          </w:pPr>
          <w:hyperlink w:anchor="_Toc189824299" w:history="1">
            <w:r w:rsidRPr="00DF0895">
              <w:rPr>
                <w:rStyle w:val="Hyperlink"/>
                <w:noProof/>
              </w:rPr>
              <w:t>Task 1: Introduction and Project Plan</w:t>
            </w:r>
            <w:r>
              <w:rPr>
                <w:noProof/>
                <w:webHidden/>
              </w:rPr>
              <w:tab/>
            </w:r>
            <w:r>
              <w:rPr>
                <w:noProof/>
                <w:webHidden/>
              </w:rPr>
              <w:fldChar w:fldCharType="begin"/>
            </w:r>
            <w:r>
              <w:rPr>
                <w:noProof/>
                <w:webHidden/>
              </w:rPr>
              <w:instrText xml:space="preserve"> PAGEREF _Toc189824299 \h </w:instrText>
            </w:r>
            <w:r>
              <w:rPr>
                <w:noProof/>
                <w:webHidden/>
              </w:rPr>
            </w:r>
            <w:r>
              <w:rPr>
                <w:noProof/>
                <w:webHidden/>
              </w:rPr>
              <w:fldChar w:fldCharType="separate"/>
            </w:r>
            <w:r>
              <w:rPr>
                <w:noProof/>
                <w:webHidden/>
              </w:rPr>
              <w:t>5</w:t>
            </w:r>
            <w:r>
              <w:rPr>
                <w:noProof/>
                <w:webHidden/>
              </w:rPr>
              <w:fldChar w:fldCharType="end"/>
            </w:r>
          </w:hyperlink>
        </w:p>
        <w:p w14:paraId="69DFDBB9" w14:textId="021DC91E" w:rsidR="008C5FE6" w:rsidRDefault="008C5FE6">
          <w:pPr>
            <w:pStyle w:val="TOC2"/>
            <w:tabs>
              <w:tab w:val="right" w:leader="dot" w:pos="9350"/>
            </w:tabs>
            <w:rPr>
              <w:rFonts w:eastAsiaTheme="minorEastAsia"/>
              <w:noProof/>
              <w:kern w:val="2"/>
              <w:sz w:val="24"/>
              <w:szCs w:val="24"/>
              <w:lang w:val="en-GB" w:eastAsia="en-GB"/>
              <w14:ligatures w14:val="standardContextual"/>
            </w:rPr>
          </w:pPr>
          <w:hyperlink w:anchor="_Toc189824300" w:history="1">
            <w:r w:rsidRPr="00DF0895">
              <w:rPr>
                <w:rStyle w:val="Hyperlink"/>
                <w:noProof/>
              </w:rPr>
              <w:t>Project Implementation Framework</w:t>
            </w:r>
            <w:r>
              <w:rPr>
                <w:noProof/>
                <w:webHidden/>
              </w:rPr>
              <w:tab/>
            </w:r>
            <w:r>
              <w:rPr>
                <w:noProof/>
                <w:webHidden/>
              </w:rPr>
              <w:fldChar w:fldCharType="begin"/>
            </w:r>
            <w:r>
              <w:rPr>
                <w:noProof/>
                <w:webHidden/>
              </w:rPr>
              <w:instrText xml:space="preserve"> PAGEREF _Toc189824300 \h </w:instrText>
            </w:r>
            <w:r>
              <w:rPr>
                <w:noProof/>
                <w:webHidden/>
              </w:rPr>
            </w:r>
            <w:r>
              <w:rPr>
                <w:noProof/>
                <w:webHidden/>
              </w:rPr>
              <w:fldChar w:fldCharType="separate"/>
            </w:r>
            <w:r>
              <w:rPr>
                <w:noProof/>
                <w:webHidden/>
              </w:rPr>
              <w:t>5</w:t>
            </w:r>
            <w:r>
              <w:rPr>
                <w:noProof/>
                <w:webHidden/>
              </w:rPr>
              <w:fldChar w:fldCharType="end"/>
            </w:r>
          </w:hyperlink>
        </w:p>
        <w:p w14:paraId="4BFD3A9F" w14:textId="334C8C46" w:rsidR="008C5FE6" w:rsidRDefault="008C5FE6">
          <w:pPr>
            <w:pStyle w:val="TOC3"/>
            <w:tabs>
              <w:tab w:val="right" w:leader="dot" w:pos="9350"/>
            </w:tabs>
            <w:rPr>
              <w:rFonts w:eastAsiaTheme="minorEastAsia"/>
              <w:noProof/>
              <w:kern w:val="2"/>
              <w:sz w:val="24"/>
              <w:szCs w:val="24"/>
              <w:lang w:val="en-GB" w:eastAsia="en-GB"/>
              <w14:ligatures w14:val="standardContextual"/>
            </w:rPr>
          </w:pPr>
          <w:hyperlink w:anchor="_Toc189824301" w:history="1">
            <w:r w:rsidRPr="00DF0895">
              <w:rPr>
                <w:rStyle w:val="Hyperlink"/>
                <w:noProof/>
              </w:rPr>
              <w:t>Strategic Objectives</w:t>
            </w:r>
            <w:r>
              <w:rPr>
                <w:noProof/>
                <w:webHidden/>
              </w:rPr>
              <w:tab/>
            </w:r>
            <w:r>
              <w:rPr>
                <w:noProof/>
                <w:webHidden/>
              </w:rPr>
              <w:fldChar w:fldCharType="begin"/>
            </w:r>
            <w:r>
              <w:rPr>
                <w:noProof/>
                <w:webHidden/>
              </w:rPr>
              <w:instrText xml:space="preserve"> PAGEREF _Toc189824301 \h </w:instrText>
            </w:r>
            <w:r>
              <w:rPr>
                <w:noProof/>
                <w:webHidden/>
              </w:rPr>
            </w:r>
            <w:r>
              <w:rPr>
                <w:noProof/>
                <w:webHidden/>
              </w:rPr>
              <w:fldChar w:fldCharType="separate"/>
            </w:r>
            <w:r>
              <w:rPr>
                <w:noProof/>
                <w:webHidden/>
              </w:rPr>
              <w:t>5</w:t>
            </w:r>
            <w:r>
              <w:rPr>
                <w:noProof/>
                <w:webHidden/>
              </w:rPr>
              <w:fldChar w:fldCharType="end"/>
            </w:r>
          </w:hyperlink>
        </w:p>
        <w:p w14:paraId="4CBECD9D" w14:textId="2530B366" w:rsidR="008C5FE6" w:rsidRDefault="008C5FE6">
          <w:pPr>
            <w:pStyle w:val="TOC3"/>
            <w:tabs>
              <w:tab w:val="right" w:leader="dot" w:pos="9350"/>
            </w:tabs>
            <w:rPr>
              <w:rFonts w:eastAsiaTheme="minorEastAsia"/>
              <w:noProof/>
              <w:kern w:val="2"/>
              <w:sz w:val="24"/>
              <w:szCs w:val="24"/>
              <w:lang w:val="en-GB" w:eastAsia="en-GB"/>
              <w14:ligatures w14:val="standardContextual"/>
            </w:rPr>
          </w:pPr>
          <w:hyperlink w:anchor="_Toc189824302" w:history="1">
            <w:r w:rsidRPr="00DF0895">
              <w:rPr>
                <w:rStyle w:val="Hyperlink"/>
                <w:noProof/>
              </w:rPr>
              <w:t>Methodological Approach</w:t>
            </w:r>
            <w:r>
              <w:rPr>
                <w:noProof/>
                <w:webHidden/>
              </w:rPr>
              <w:tab/>
            </w:r>
            <w:r>
              <w:rPr>
                <w:noProof/>
                <w:webHidden/>
              </w:rPr>
              <w:fldChar w:fldCharType="begin"/>
            </w:r>
            <w:r>
              <w:rPr>
                <w:noProof/>
                <w:webHidden/>
              </w:rPr>
              <w:instrText xml:space="preserve"> PAGEREF _Toc189824302 \h </w:instrText>
            </w:r>
            <w:r>
              <w:rPr>
                <w:noProof/>
                <w:webHidden/>
              </w:rPr>
            </w:r>
            <w:r>
              <w:rPr>
                <w:noProof/>
                <w:webHidden/>
              </w:rPr>
              <w:fldChar w:fldCharType="separate"/>
            </w:r>
            <w:r>
              <w:rPr>
                <w:noProof/>
                <w:webHidden/>
              </w:rPr>
              <w:t>6</w:t>
            </w:r>
            <w:r>
              <w:rPr>
                <w:noProof/>
                <w:webHidden/>
              </w:rPr>
              <w:fldChar w:fldCharType="end"/>
            </w:r>
          </w:hyperlink>
        </w:p>
        <w:p w14:paraId="4EE2D06F" w14:textId="28246356" w:rsidR="008C5FE6" w:rsidRDefault="008C5FE6">
          <w:pPr>
            <w:pStyle w:val="TOC2"/>
            <w:tabs>
              <w:tab w:val="right" w:leader="dot" w:pos="9350"/>
            </w:tabs>
            <w:rPr>
              <w:rFonts w:eastAsiaTheme="minorEastAsia"/>
              <w:noProof/>
              <w:kern w:val="2"/>
              <w:sz w:val="24"/>
              <w:szCs w:val="24"/>
              <w:lang w:val="en-GB" w:eastAsia="en-GB"/>
              <w14:ligatures w14:val="standardContextual"/>
            </w:rPr>
          </w:pPr>
          <w:hyperlink w:anchor="_Toc189824303" w:history="1">
            <w:r w:rsidRPr="00DF0895">
              <w:rPr>
                <w:rStyle w:val="Hyperlink"/>
                <w:noProof/>
              </w:rPr>
              <w:t>Enhanced Analytics Framework</w:t>
            </w:r>
            <w:r>
              <w:rPr>
                <w:noProof/>
                <w:webHidden/>
              </w:rPr>
              <w:tab/>
            </w:r>
            <w:r>
              <w:rPr>
                <w:noProof/>
                <w:webHidden/>
              </w:rPr>
              <w:fldChar w:fldCharType="begin"/>
            </w:r>
            <w:r>
              <w:rPr>
                <w:noProof/>
                <w:webHidden/>
              </w:rPr>
              <w:instrText xml:space="preserve"> PAGEREF _Toc189824303 \h </w:instrText>
            </w:r>
            <w:r>
              <w:rPr>
                <w:noProof/>
                <w:webHidden/>
              </w:rPr>
            </w:r>
            <w:r>
              <w:rPr>
                <w:noProof/>
                <w:webHidden/>
              </w:rPr>
              <w:fldChar w:fldCharType="separate"/>
            </w:r>
            <w:r>
              <w:rPr>
                <w:noProof/>
                <w:webHidden/>
              </w:rPr>
              <w:t>7</w:t>
            </w:r>
            <w:r>
              <w:rPr>
                <w:noProof/>
                <w:webHidden/>
              </w:rPr>
              <w:fldChar w:fldCharType="end"/>
            </w:r>
          </w:hyperlink>
        </w:p>
        <w:p w14:paraId="6E630857" w14:textId="083F10AC" w:rsidR="008C5FE6" w:rsidRDefault="008C5FE6">
          <w:pPr>
            <w:pStyle w:val="TOC1"/>
            <w:tabs>
              <w:tab w:val="right" w:leader="dot" w:pos="9350"/>
            </w:tabs>
            <w:rPr>
              <w:rFonts w:eastAsiaTheme="minorEastAsia"/>
              <w:noProof/>
              <w:kern w:val="2"/>
              <w:sz w:val="24"/>
              <w:szCs w:val="24"/>
              <w:lang w:val="en-GB" w:eastAsia="en-GB"/>
              <w14:ligatures w14:val="standardContextual"/>
            </w:rPr>
          </w:pPr>
          <w:hyperlink w:anchor="_Toc189824304" w:history="1">
            <w:r w:rsidRPr="00DF0895">
              <w:rPr>
                <w:rStyle w:val="Hyperlink"/>
                <w:rFonts w:cstheme="minorHAnsi"/>
                <w:noProof/>
              </w:rPr>
              <w:t>Task 2: Data preparation quality issues &amp; remedies</w:t>
            </w:r>
            <w:r>
              <w:rPr>
                <w:noProof/>
                <w:webHidden/>
              </w:rPr>
              <w:tab/>
            </w:r>
            <w:r>
              <w:rPr>
                <w:noProof/>
                <w:webHidden/>
              </w:rPr>
              <w:fldChar w:fldCharType="begin"/>
            </w:r>
            <w:r>
              <w:rPr>
                <w:noProof/>
                <w:webHidden/>
              </w:rPr>
              <w:instrText xml:space="preserve"> PAGEREF _Toc189824304 \h </w:instrText>
            </w:r>
            <w:r>
              <w:rPr>
                <w:noProof/>
                <w:webHidden/>
              </w:rPr>
            </w:r>
            <w:r>
              <w:rPr>
                <w:noProof/>
                <w:webHidden/>
              </w:rPr>
              <w:fldChar w:fldCharType="separate"/>
            </w:r>
            <w:r>
              <w:rPr>
                <w:noProof/>
                <w:webHidden/>
              </w:rPr>
              <w:t>8</w:t>
            </w:r>
            <w:r>
              <w:rPr>
                <w:noProof/>
                <w:webHidden/>
              </w:rPr>
              <w:fldChar w:fldCharType="end"/>
            </w:r>
          </w:hyperlink>
        </w:p>
        <w:p w14:paraId="6843DF86" w14:textId="7143E3F7" w:rsidR="008C5FE6" w:rsidRDefault="008C5FE6">
          <w:pPr>
            <w:pStyle w:val="TOC2"/>
            <w:tabs>
              <w:tab w:val="right" w:leader="dot" w:pos="9350"/>
            </w:tabs>
            <w:rPr>
              <w:rFonts w:eastAsiaTheme="minorEastAsia"/>
              <w:noProof/>
              <w:kern w:val="2"/>
              <w:sz w:val="24"/>
              <w:szCs w:val="24"/>
              <w:lang w:val="en-GB" w:eastAsia="en-GB"/>
              <w14:ligatures w14:val="standardContextual"/>
            </w:rPr>
          </w:pPr>
          <w:hyperlink w:anchor="_Toc189824305" w:history="1">
            <w:r w:rsidRPr="00DF0895">
              <w:rPr>
                <w:rStyle w:val="Hyperlink"/>
                <w:noProof/>
              </w:rPr>
              <w:t>Data Quality Challenges Overview</w:t>
            </w:r>
            <w:r>
              <w:rPr>
                <w:noProof/>
                <w:webHidden/>
              </w:rPr>
              <w:tab/>
            </w:r>
            <w:r>
              <w:rPr>
                <w:noProof/>
                <w:webHidden/>
              </w:rPr>
              <w:fldChar w:fldCharType="begin"/>
            </w:r>
            <w:r>
              <w:rPr>
                <w:noProof/>
                <w:webHidden/>
              </w:rPr>
              <w:instrText xml:space="preserve"> PAGEREF _Toc189824305 \h </w:instrText>
            </w:r>
            <w:r>
              <w:rPr>
                <w:noProof/>
                <w:webHidden/>
              </w:rPr>
            </w:r>
            <w:r>
              <w:rPr>
                <w:noProof/>
                <w:webHidden/>
              </w:rPr>
              <w:fldChar w:fldCharType="separate"/>
            </w:r>
            <w:r>
              <w:rPr>
                <w:noProof/>
                <w:webHidden/>
              </w:rPr>
              <w:t>8</w:t>
            </w:r>
            <w:r>
              <w:rPr>
                <w:noProof/>
                <w:webHidden/>
              </w:rPr>
              <w:fldChar w:fldCharType="end"/>
            </w:r>
          </w:hyperlink>
        </w:p>
        <w:p w14:paraId="0EE30381" w14:textId="6B068C4E" w:rsidR="008C5FE6" w:rsidRDefault="008C5FE6">
          <w:pPr>
            <w:pStyle w:val="TOC2"/>
            <w:tabs>
              <w:tab w:val="right" w:leader="dot" w:pos="9350"/>
            </w:tabs>
            <w:rPr>
              <w:rFonts w:eastAsiaTheme="minorEastAsia"/>
              <w:noProof/>
              <w:kern w:val="2"/>
              <w:sz w:val="24"/>
              <w:szCs w:val="24"/>
              <w:lang w:val="en-GB" w:eastAsia="en-GB"/>
              <w14:ligatures w14:val="standardContextual"/>
            </w:rPr>
          </w:pPr>
          <w:hyperlink w:anchor="_Toc189824306" w:history="1">
            <w:r w:rsidRPr="00DF0895">
              <w:rPr>
                <w:rStyle w:val="Hyperlink"/>
                <w:noProof/>
              </w:rPr>
              <w:t>Remedies for Data Quality Issues</w:t>
            </w:r>
            <w:r>
              <w:rPr>
                <w:noProof/>
                <w:webHidden/>
              </w:rPr>
              <w:tab/>
            </w:r>
            <w:r>
              <w:rPr>
                <w:noProof/>
                <w:webHidden/>
              </w:rPr>
              <w:fldChar w:fldCharType="begin"/>
            </w:r>
            <w:r>
              <w:rPr>
                <w:noProof/>
                <w:webHidden/>
              </w:rPr>
              <w:instrText xml:space="preserve"> PAGEREF _Toc189824306 \h </w:instrText>
            </w:r>
            <w:r>
              <w:rPr>
                <w:noProof/>
                <w:webHidden/>
              </w:rPr>
            </w:r>
            <w:r>
              <w:rPr>
                <w:noProof/>
                <w:webHidden/>
              </w:rPr>
              <w:fldChar w:fldCharType="separate"/>
            </w:r>
            <w:r>
              <w:rPr>
                <w:noProof/>
                <w:webHidden/>
              </w:rPr>
              <w:t>9</w:t>
            </w:r>
            <w:r>
              <w:rPr>
                <w:noProof/>
                <w:webHidden/>
              </w:rPr>
              <w:fldChar w:fldCharType="end"/>
            </w:r>
          </w:hyperlink>
        </w:p>
        <w:p w14:paraId="360A2DF3" w14:textId="11DAFD61" w:rsidR="008C5FE6" w:rsidRDefault="008C5FE6">
          <w:pPr>
            <w:pStyle w:val="TOC1"/>
            <w:tabs>
              <w:tab w:val="right" w:leader="dot" w:pos="9350"/>
            </w:tabs>
            <w:rPr>
              <w:rFonts w:eastAsiaTheme="minorEastAsia"/>
              <w:noProof/>
              <w:kern w:val="2"/>
              <w:sz w:val="24"/>
              <w:szCs w:val="24"/>
              <w:lang w:val="en-GB" w:eastAsia="en-GB"/>
              <w14:ligatures w14:val="standardContextual"/>
            </w:rPr>
          </w:pPr>
          <w:hyperlink w:anchor="_Toc189824307" w:history="1">
            <w:r w:rsidRPr="00DF0895">
              <w:rPr>
                <w:rStyle w:val="Hyperlink"/>
                <w:rFonts w:cstheme="minorHAnsi"/>
                <w:noProof/>
              </w:rPr>
              <w:t>Task 3: Data analysis &amp; commentary</w:t>
            </w:r>
            <w:r>
              <w:rPr>
                <w:noProof/>
                <w:webHidden/>
              </w:rPr>
              <w:tab/>
            </w:r>
            <w:r>
              <w:rPr>
                <w:noProof/>
                <w:webHidden/>
              </w:rPr>
              <w:fldChar w:fldCharType="begin"/>
            </w:r>
            <w:r>
              <w:rPr>
                <w:noProof/>
                <w:webHidden/>
              </w:rPr>
              <w:instrText xml:space="preserve"> PAGEREF _Toc189824307 \h </w:instrText>
            </w:r>
            <w:r>
              <w:rPr>
                <w:noProof/>
                <w:webHidden/>
              </w:rPr>
            </w:r>
            <w:r>
              <w:rPr>
                <w:noProof/>
                <w:webHidden/>
              </w:rPr>
              <w:fldChar w:fldCharType="separate"/>
            </w:r>
            <w:r>
              <w:rPr>
                <w:noProof/>
                <w:webHidden/>
              </w:rPr>
              <w:t>10</w:t>
            </w:r>
            <w:r>
              <w:rPr>
                <w:noProof/>
                <w:webHidden/>
              </w:rPr>
              <w:fldChar w:fldCharType="end"/>
            </w:r>
          </w:hyperlink>
        </w:p>
        <w:p w14:paraId="3F91A50F" w14:textId="7DC8AE72" w:rsidR="008C5FE6" w:rsidRDefault="008C5FE6">
          <w:pPr>
            <w:pStyle w:val="TOC2"/>
            <w:tabs>
              <w:tab w:val="right" w:leader="dot" w:pos="9350"/>
            </w:tabs>
            <w:rPr>
              <w:rFonts w:eastAsiaTheme="minorEastAsia"/>
              <w:noProof/>
              <w:kern w:val="2"/>
              <w:sz w:val="24"/>
              <w:szCs w:val="24"/>
              <w:lang w:val="en-GB" w:eastAsia="en-GB"/>
              <w14:ligatures w14:val="standardContextual"/>
            </w:rPr>
          </w:pPr>
          <w:hyperlink w:anchor="_Toc189824308" w:history="1">
            <w:r w:rsidRPr="00DF0895">
              <w:rPr>
                <w:rStyle w:val="Hyperlink"/>
                <w:rFonts w:cstheme="minorHAnsi"/>
                <w:noProof/>
              </w:rPr>
              <w:t>Table A: Sales Volume &amp; Value by Year</w:t>
            </w:r>
            <w:r>
              <w:rPr>
                <w:noProof/>
                <w:webHidden/>
              </w:rPr>
              <w:tab/>
            </w:r>
            <w:r>
              <w:rPr>
                <w:noProof/>
                <w:webHidden/>
              </w:rPr>
              <w:fldChar w:fldCharType="begin"/>
            </w:r>
            <w:r>
              <w:rPr>
                <w:noProof/>
                <w:webHidden/>
              </w:rPr>
              <w:instrText xml:space="preserve"> PAGEREF _Toc189824308 \h </w:instrText>
            </w:r>
            <w:r>
              <w:rPr>
                <w:noProof/>
                <w:webHidden/>
              </w:rPr>
            </w:r>
            <w:r>
              <w:rPr>
                <w:noProof/>
                <w:webHidden/>
              </w:rPr>
              <w:fldChar w:fldCharType="separate"/>
            </w:r>
            <w:r>
              <w:rPr>
                <w:noProof/>
                <w:webHidden/>
              </w:rPr>
              <w:t>10</w:t>
            </w:r>
            <w:r>
              <w:rPr>
                <w:noProof/>
                <w:webHidden/>
              </w:rPr>
              <w:fldChar w:fldCharType="end"/>
            </w:r>
          </w:hyperlink>
        </w:p>
        <w:p w14:paraId="51760BDC" w14:textId="737439FA" w:rsidR="008C5FE6" w:rsidRDefault="008C5FE6">
          <w:pPr>
            <w:pStyle w:val="TOC3"/>
            <w:tabs>
              <w:tab w:val="right" w:leader="dot" w:pos="9350"/>
            </w:tabs>
            <w:rPr>
              <w:rFonts w:eastAsiaTheme="minorEastAsia"/>
              <w:noProof/>
              <w:kern w:val="2"/>
              <w:sz w:val="24"/>
              <w:szCs w:val="24"/>
              <w:lang w:val="en-GB" w:eastAsia="en-GB"/>
              <w14:ligatures w14:val="standardContextual"/>
            </w:rPr>
          </w:pPr>
          <w:hyperlink w:anchor="_Toc189824309" w:history="1">
            <w:r w:rsidRPr="00DF0895">
              <w:rPr>
                <w:rStyle w:val="Hyperlink"/>
                <w:rFonts w:cstheme="minorHAnsi"/>
                <w:noProof/>
              </w:rPr>
              <w:t>Key Findings</w:t>
            </w:r>
            <w:r>
              <w:rPr>
                <w:noProof/>
                <w:webHidden/>
              </w:rPr>
              <w:tab/>
            </w:r>
            <w:r>
              <w:rPr>
                <w:noProof/>
                <w:webHidden/>
              </w:rPr>
              <w:fldChar w:fldCharType="begin"/>
            </w:r>
            <w:r>
              <w:rPr>
                <w:noProof/>
                <w:webHidden/>
              </w:rPr>
              <w:instrText xml:space="preserve"> PAGEREF _Toc189824309 \h </w:instrText>
            </w:r>
            <w:r>
              <w:rPr>
                <w:noProof/>
                <w:webHidden/>
              </w:rPr>
            </w:r>
            <w:r>
              <w:rPr>
                <w:noProof/>
                <w:webHidden/>
              </w:rPr>
              <w:fldChar w:fldCharType="separate"/>
            </w:r>
            <w:r>
              <w:rPr>
                <w:noProof/>
                <w:webHidden/>
              </w:rPr>
              <w:t>10</w:t>
            </w:r>
            <w:r>
              <w:rPr>
                <w:noProof/>
                <w:webHidden/>
              </w:rPr>
              <w:fldChar w:fldCharType="end"/>
            </w:r>
          </w:hyperlink>
        </w:p>
        <w:p w14:paraId="38B1E7D7" w14:textId="46F8075D" w:rsidR="008C5FE6" w:rsidRDefault="008C5FE6">
          <w:pPr>
            <w:pStyle w:val="TOC2"/>
            <w:tabs>
              <w:tab w:val="right" w:leader="dot" w:pos="9350"/>
            </w:tabs>
            <w:rPr>
              <w:rFonts w:eastAsiaTheme="minorEastAsia"/>
              <w:noProof/>
              <w:kern w:val="2"/>
              <w:sz w:val="24"/>
              <w:szCs w:val="24"/>
              <w:lang w:val="en-GB" w:eastAsia="en-GB"/>
              <w14:ligatures w14:val="standardContextual"/>
            </w:rPr>
          </w:pPr>
          <w:hyperlink w:anchor="_Toc189824310" w:history="1">
            <w:r w:rsidRPr="00DF0895">
              <w:rPr>
                <w:rStyle w:val="Hyperlink"/>
                <w:rFonts w:cstheme="minorHAnsi"/>
                <w:noProof/>
              </w:rPr>
              <w:t>Table B: Benchmark Comparison of Product Category Performance</w:t>
            </w:r>
            <w:r>
              <w:rPr>
                <w:noProof/>
                <w:webHidden/>
              </w:rPr>
              <w:tab/>
            </w:r>
            <w:r>
              <w:rPr>
                <w:noProof/>
                <w:webHidden/>
              </w:rPr>
              <w:fldChar w:fldCharType="begin"/>
            </w:r>
            <w:r>
              <w:rPr>
                <w:noProof/>
                <w:webHidden/>
              </w:rPr>
              <w:instrText xml:space="preserve"> PAGEREF _Toc189824310 \h </w:instrText>
            </w:r>
            <w:r>
              <w:rPr>
                <w:noProof/>
                <w:webHidden/>
              </w:rPr>
            </w:r>
            <w:r>
              <w:rPr>
                <w:noProof/>
                <w:webHidden/>
              </w:rPr>
              <w:fldChar w:fldCharType="separate"/>
            </w:r>
            <w:r>
              <w:rPr>
                <w:noProof/>
                <w:webHidden/>
              </w:rPr>
              <w:t>11</w:t>
            </w:r>
            <w:r>
              <w:rPr>
                <w:noProof/>
                <w:webHidden/>
              </w:rPr>
              <w:fldChar w:fldCharType="end"/>
            </w:r>
          </w:hyperlink>
        </w:p>
        <w:p w14:paraId="1C17F2AF" w14:textId="4C6A4D01" w:rsidR="008C5FE6" w:rsidRDefault="008C5FE6">
          <w:pPr>
            <w:pStyle w:val="TOC3"/>
            <w:tabs>
              <w:tab w:val="right" w:leader="dot" w:pos="9350"/>
            </w:tabs>
            <w:rPr>
              <w:rFonts w:eastAsiaTheme="minorEastAsia"/>
              <w:noProof/>
              <w:kern w:val="2"/>
              <w:sz w:val="24"/>
              <w:szCs w:val="24"/>
              <w:lang w:val="en-GB" w:eastAsia="en-GB"/>
              <w14:ligatures w14:val="standardContextual"/>
            </w:rPr>
          </w:pPr>
          <w:hyperlink w:anchor="_Toc189824311" w:history="1">
            <w:r w:rsidRPr="00DF0895">
              <w:rPr>
                <w:rStyle w:val="Hyperlink"/>
                <w:rFonts w:cstheme="minorHAnsi"/>
                <w:noProof/>
              </w:rPr>
              <w:t>Key Findings</w:t>
            </w:r>
            <w:r>
              <w:rPr>
                <w:noProof/>
                <w:webHidden/>
              </w:rPr>
              <w:tab/>
            </w:r>
            <w:r>
              <w:rPr>
                <w:noProof/>
                <w:webHidden/>
              </w:rPr>
              <w:fldChar w:fldCharType="begin"/>
            </w:r>
            <w:r>
              <w:rPr>
                <w:noProof/>
                <w:webHidden/>
              </w:rPr>
              <w:instrText xml:space="preserve"> PAGEREF _Toc189824311 \h </w:instrText>
            </w:r>
            <w:r>
              <w:rPr>
                <w:noProof/>
                <w:webHidden/>
              </w:rPr>
            </w:r>
            <w:r>
              <w:rPr>
                <w:noProof/>
                <w:webHidden/>
              </w:rPr>
              <w:fldChar w:fldCharType="separate"/>
            </w:r>
            <w:r>
              <w:rPr>
                <w:noProof/>
                <w:webHidden/>
              </w:rPr>
              <w:t>11</w:t>
            </w:r>
            <w:r>
              <w:rPr>
                <w:noProof/>
                <w:webHidden/>
              </w:rPr>
              <w:fldChar w:fldCharType="end"/>
            </w:r>
          </w:hyperlink>
        </w:p>
        <w:p w14:paraId="5DC5D34D" w14:textId="1113080E" w:rsidR="008C5FE6" w:rsidRDefault="008C5FE6">
          <w:pPr>
            <w:pStyle w:val="TOC2"/>
            <w:tabs>
              <w:tab w:val="right" w:leader="dot" w:pos="9350"/>
            </w:tabs>
            <w:rPr>
              <w:rFonts w:eastAsiaTheme="minorEastAsia"/>
              <w:noProof/>
              <w:kern w:val="2"/>
              <w:sz w:val="24"/>
              <w:szCs w:val="24"/>
              <w:lang w:val="en-GB" w:eastAsia="en-GB"/>
              <w14:ligatures w14:val="standardContextual"/>
            </w:rPr>
          </w:pPr>
          <w:hyperlink w:anchor="_Toc189824312" w:history="1">
            <w:r w:rsidRPr="00DF0895">
              <w:rPr>
                <w:rStyle w:val="Hyperlink"/>
                <w:rFonts w:cstheme="minorHAnsi"/>
                <w:noProof/>
              </w:rPr>
              <w:t>Table C: Benchmark Comparisons of Sales Volume &amp; Value between Subsidiaries</w:t>
            </w:r>
            <w:r>
              <w:rPr>
                <w:noProof/>
                <w:webHidden/>
              </w:rPr>
              <w:tab/>
            </w:r>
            <w:r>
              <w:rPr>
                <w:noProof/>
                <w:webHidden/>
              </w:rPr>
              <w:fldChar w:fldCharType="begin"/>
            </w:r>
            <w:r>
              <w:rPr>
                <w:noProof/>
                <w:webHidden/>
              </w:rPr>
              <w:instrText xml:space="preserve"> PAGEREF _Toc189824312 \h </w:instrText>
            </w:r>
            <w:r>
              <w:rPr>
                <w:noProof/>
                <w:webHidden/>
              </w:rPr>
            </w:r>
            <w:r>
              <w:rPr>
                <w:noProof/>
                <w:webHidden/>
              </w:rPr>
              <w:fldChar w:fldCharType="separate"/>
            </w:r>
            <w:r>
              <w:rPr>
                <w:noProof/>
                <w:webHidden/>
              </w:rPr>
              <w:t>12</w:t>
            </w:r>
            <w:r>
              <w:rPr>
                <w:noProof/>
                <w:webHidden/>
              </w:rPr>
              <w:fldChar w:fldCharType="end"/>
            </w:r>
          </w:hyperlink>
        </w:p>
        <w:p w14:paraId="094825DD" w14:textId="075BDF9D" w:rsidR="008C5FE6" w:rsidRDefault="008C5FE6">
          <w:pPr>
            <w:pStyle w:val="TOC3"/>
            <w:tabs>
              <w:tab w:val="right" w:leader="dot" w:pos="9350"/>
            </w:tabs>
            <w:rPr>
              <w:rFonts w:eastAsiaTheme="minorEastAsia"/>
              <w:noProof/>
              <w:kern w:val="2"/>
              <w:sz w:val="24"/>
              <w:szCs w:val="24"/>
              <w:lang w:val="en-GB" w:eastAsia="en-GB"/>
              <w14:ligatures w14:val="standardContextual"/>
            </w:rPr>
          </w:pPr>
          <w:hyperlink w:anchor="_Toc189824313" w:history="1">
            <w:r w:rsidRPr="00DF0895">
              <w:rPr>
                <w:rStyle w:val="Hyperlink"/>
                <w:rFonts w:cstheme="minorHAnsi"/>
                <w:noProof/>
              </w:rPr>
              <w:t>Key findings</w:t>
            </w:r>
            <w:r>
              <w:rPr>
                <w:noProof/>
                <w:webHidden/>
              </w:rPr>
              <w:tab/>
            </w:r>
            <w:r>
              <w:rPr>
                <w:noProof/>
                <w:webHidden/>
              </w:rPr>
              <w:fldChar w:fldCharType="begin"/>
            </w:r>
            <w:r>
              <w:rPr>
                <w:noProof/>
                <w:webHidden/>
              </w:rPr>
              <w:instrText xml:space="preserve"> PAGEREF _Toc189824313 \h </w:instrText>
            </w:r>
            <w:r>
              <w:rPr>
                <w:noProof/>
                <w:webHidden/>
              </w:rPr>
            </w:r>
            <w:r>
              <w:rPr>
                <w:noProof/>
                <w:webHidden/>
              </w:rPr>
              <w:fldChar w:fldCharType="separate"/>
            </w:r>
            <w:r>
              <w:rPr>
                <w:noProof/>
                <w:webHidden/>
              </w:rPr>
              <w:t>12</w:t>
            </w:r>
            <w:r>
              <w:rPr>
                <w:noProof/>
                <w:webHidden/>
              </w:rPr>
              <w:fldChar w:fldCharType="end"/>
            </w:r>
          </w:hyperlink>
        </w:p>
        <w:p w14:paraId="2FE1508D" w14:textId="04B7A70A" w:rsidR="008C5FE6" w:rsidRDefault="008C5FE6">
          <w:pPr>
            <w:pStyle w:val="TOC1"/>
            <w:tabs>
              <w:tab w:val="right" w:leader="dot" w:pos="9350"/>
            </w:tabs>
            <w:rPr>
              <w:rFonts w:eastAsiaTheme="minorEastAsia"/>
              <w:noProof/>
              <w:kern w:val="2"/>
              <w:sz w:val="24"/>
              <w:szCs w:val="24"/>
              <w:lang w:val="en-GB" w:eastAsia="en-GB"/>
              <w14:ligatures w14:val="standardContextual"/>
            </w:rPr>
          </w:pPr>
          <w:hyperlink w:anchor="_Toc189824314" w:history="1">
            <w:r w:rsidRPr="00DF0895">
              <w:rPr>
                <w:rStyle w:val="Hyperlink"/>
                <w:rFonts w:cstheme="minorHAnsi"/>
                <w:noProof/>
              </w:rPr>
              <w:t>Task 4: Data visualizations and commentary</w:t>
            </w:r>
            <w:r>
              <w:rPr>
                <w:noProof/>
                <w:webHidden/>
              </w:rPr>
              <w:tab/>
            </w:r>
            <w:r>
              <w:rPr>
                <w:noProof/>
                <w:webHidden/>
              </w:rPr>
              <w:fldChar w:fldCharType="begin"/>
            </w:r>
            <w:r>
              <w:rPr>
                <w:noProof/>
                <w:webHidden/>
              </w:rPr>
              <w:instrText xml:space="preserve"> PAGEREF _Toc189824314 \h </w:instrText>
            </w:r>
            <w:r>
              <w:rPr>
                <w:noProof/>
                <w:webHidden/>
              </w:rPr>
            </w:r>
            <w:r>
              <w:rPr>
                <w:noProof/>
                <w:webHidden/>
              </w:rPr>
              <w:fldChar w:fldCharType="separate"/>
            </w:r>
            <w:r>
              <w:rPr>
                <w:noProof/>
                <w:webHidden/>
              </w:rPr>
              <w:t>12</w:t>
            </w:r>
            <w:r>
              <w:rPr>
                <w:noProof/>
                <w:webHidden/>
              </w:rPr>
              <w:fldChar w:fldCharType="end"/>
            </w:r>
          </w:hyperlink>
        </w:p>
        <w:p w14:paraId="71DBECB7" w14:textId="41248461" w:rsidR="008C5FE6" w:rsidRDefault="008C5FE6">
          <w:pPr>
            <w:pStyle w:val="TOC2"/>
            <w:tabs>
              <w:tab w:val="right" w:leader="dot" w:pos="9350"/>
            </w:tabs>
            <w:rPr>
              <w:rFonts w:eastAsiaTheme="minorEastAsia"/>
              <w:noProof/>
              <w:kern w:val="2"/>
              <w:sz w:val="24"/>
              <w:szCs w:val="24"/>
              <w:lang w:val="en-GB" w:eastAsia="en-GB"/>
              <w14:ligatures w14:val="standardContextual"/>
            </w:rPr>
          </w:pPr>
          <w:hyperlink w:anchor="_Toc189824315" w:history="1">
            <w:r w:rsidRPr="00DF0895">
              <w:rPr>
                <w:rStyle w:val="Hyperlink"/>
                <w:rFonts w:cstheme="minorHAnsi"/>
                <w:noProof/>
              </w:rPr>
              <w:t>Chart A: Comparison of sales value trends across subsidiaries over time</w:t>
            </w:r>
            <w:r>
              <w:rPr>
                <w:noProof/>
                <w:webHidden/>
              </w:rPr>
              <w:tab/>
            </w:r>
            <w:r>
              <w:rPr>
                <w:noProof/>
                <w:webHidden/>
              </w:rPr>
              <w:fldChar w:fldCharType="begin"/>
            </w:r>
            <w:r>
              <w:rPr>
                <w:noProof/>
                <w:webHidden/>
              </w:rPr>
              <w:instrText xml:space="preserve"> PAGEREF _Toc189824315 \h </w:instrText>
            </w:r>
            <w:r>
              <w:rPr>
                <w:noProof/>
                <w:webHidden/>
              </w:rPr>
            </w:r>
            <w:r>
              <w:rPr>
                <w:noProof/>
                <w:webHidden/>
              </w:rPr>
              <w:fldChar w:fldCharType="separate"/>
            </w:r>
            <w:r>
              <w:rPr>
                <w:noProof/>
                <w:webHidden/>
              </w:rPr>
              <w:t>13</w:t>
            </w:r>
            <w:r>
              <w:rPr>
                <w:noProof/>
                <w:webHidden/>
              </w:rPr>
              <w:fldChar w:fldCharType="end"/>
            </w:r>
          </w:hyperlink>
        </w:p>
        <w:p w14:paraId="1D150ADD" w14:textId="48C023E5" w:rsidR="008C5FE6" w:rsidRDefault="008C5FE6">
          <w:pPr>
            <w:pStyle w:val="TOC3"/>
            <w:tabs>
              <w:tab w:val="right" w:leader="dot" w:pos="9350"/>
            </w:tabs>
            <w:rPr>
              <w:rFonts w:eastAsiaTheme="minorEastAsia"/>
              <w:noProof/>
              <w:kern w:val="2"/>
              <w:sz w:val="24"/>
              <w:szCs w:val="24"/>
              <w:lang w:val="en-GB" w:eastAsia="en-GB"/>
              <w14:ligatures w14:val="standardContextual"/>
            </w:rPr>
          </w:pPr>
          <w:hyperlink w:anchor="_Toc189824316" w:history="1">
            <w:r w:rsidRPr="00DF0895">
              <w:rPr>
                <w:rStyle w:val="Hyperlink"/>
                <w:rFonts w:cstheme="minorHAnsi"/>
                <w:noProof/>
              </w:rPr>
              <w:t>Key findings</w:t>
            </w:r>
            <w:r>
              <w:rPr>
                <w:noProof/>
                <w:webHidden/>
              </w:rPr>
              <w:tab/>
            </w:r>
            <w:r>
              <w:rPr>
                <w:noProof/>
                <w:webHidden/>
              </w:rPr>
              <w:fldChar w:fldCharType="begin"/>
            </w:r>
            <w:r>
              <w:rPr>
                <w:noProof/>
                <w:webHidden/>
              </w:rPr>
              <w:instrText xml:space="preserve"> PAGEREF _Toc189824316 \h </w:instrText>
            </w:r>
            <w:r>
              <w:rPr>
                <w:noProof/>
                <w:webHidden/>
              </w:rPr>
            </w:r>
            <w:r>
              <w:rPr>
                <w:noProof/>
                <w:webHidden/>
              </w:rPr>
              <w:fldChar w:fldCharType="separate"/>
            </w:r>
            <w:r>
              <w:rPr>
                <w:noProof/>
                <w:webHidden/>
              </w:rPr>
              <w:t>13</w:t>
            </w:r>
            <w:r>
              <w:rPr>
                <w:noProof/>
                <w:webHidden/>
              </w:rPr>
              <w:fldChar w:fldCharType="end"/>
            </w:r>
          </w:hyperlink>
        </w:p>
        <w:p w14:paraId="4B4E86CB" w14:textId="01C94DAF" w:rsidR="008C5FE6" w:rsidRDefault="008C5FE6">
          <w:pPr>
            <w:pStyle w:val="TOC2"/>
            <w:tabs>
              <w:tab w:val="right" w:leader="dot" w:pos="9350"/>
            </w:tabs>
            <w:rPr>
              <w:rFonts w:eastAsiaTheme="minorEastAsia"/>
              <w:noProof/>
              <w:kern w:val="2"/>
              <w:sz w:val="24"/>
              <w:szCs w:val="24"/>
              <w:lang w:val="en-GB" w:eastAsia="en-GB"/>
              <w14:ligatures w14:val="standardContextual"/>
            </w:rPr>
          </w:pPr>
          <w:hyperlink w:anchor="_Toc189824317" w:history="1">
            <w:r w:rsidRPr="00DF0895">
              <w:rPr>
                <w:rStyle w:val="Hyperlink"/>
                <w:rFonts w:cstheme="minorHAnsi"/>
                <w:noProof/>
              </w:rPr>
              <w:t>Chart B: Sport product categories comparisons between subsidiaries</w:t>
            </w:r>
            <w:r>
              <w:rPr>
                <w:noProof/>
                <w:webHidden/>
              </w:rPr>
              <w:tab/>
            </w:r>
            <w:r>
              <w:rPr>
                <w:noProof/>
                <w:webHidden/>
              </w:rPr>
              <w:fldChar w:fldCharType="begin"/>
            </w:r>
            <w:r>
              <w:rPr>
                <w:noProof/>
                <w:webHidden/>
              </w:rPr>
              <w:instrText xml:space="preserve"> PAGEREF _Toc189824317 \h </w:instrText>
            </w:r>
            <w:r>
              <w:rPr>
                <w:noProof/>
                <w:webHidden/>
              </w:rPr>
            </w:r>
            <w:r>
              <w:rPr>
                <w:noProof/>
                <w:webHidden/>
              </w:rPr>
              <w:fldChar w:fldCharType="separate"/>
            </w:r>
            <w:r>
              <w:rPr>
                <w:noProof/>
                <w:webHidden/>
              </w:rPr>
              <w:t>14</w:t>
            </w:r>
            <w:r>
              <w:rPr>
                <w:noProof/>
                <w:webHidden/>
              </w:rPr>
              <w:fldChar w:fldCharType="end"/>
            </w:r>
          </w:hyperlink>
        </w:p>
        <w:p w14:paraId="1E95F0AA" w14:textId="3E57129D" w:rsidR="008C5FE6" w:rsidRDefault="008C5FE6">
          <w:pPr>
            <w:pStyle w:val="TOC3"/>
            <w:tabs>
              <w:tab w:val="right" w:leader="dot" w:pos="9350"/>
            </w:tabs>
            <w:rPr>
              <w:rFonts w:eastAsiaTheme="minorEastAsia"/>
              <w:noProof/>
              <w:kern w:val="2"/>
              <w:sz w:val="24"/>
              <w:szCs w:val="24"/>
              <w:lang w:val="en-GB" w:eastAsia="en-GB"/>
              <w14:ligatures w14:val="standardContextual"/>
            </w:rPr>
          </w:pPr>
          <w:hyperlink w:anchor="_Toc189824318" w:history="1">
            <w:r w:rsidRPr="00DF0895">
              <w:rPr>
                <w:rStyle w:val="Hyperlink"/>
                <w:rFonts w:cstheme="minorHAnsi"/>
                <w:noProof/>
              </w:rPr>
              <w:t>Key Findings</w:t>
            </w:r>
            <w:r>
              <w:rPr>
                <w:noProof/>
                <w:webHidden/>
              </w:rPr>
              <w:tab/>
            </w:r>
            <w:r>
              <w:rPr>
                <w:noProof/>
                <w:webHidden/>
              </w:rPr>
              <w:fldChar w:fldCharType="begin"/>
            </w:r>
            <w:r>
              <w:rPr>
                <w:noProof/>
                <w:webHidden/>
              </w:rPr>
              <w:instrText xml:space="preserve"> PAGEREF _Toc189824318 \h </w:instrText>
            </w:r>
            <w:r>
              <w:rPr>
                <w:noProof/>
                <w:webHidden/>
              </w:rPr>
            </w:r>
            <w:r>
              <w:rPr>
                <w:noProof/>
                <w:webHidden/>
              </w:rPr>
              <w:fldChar w:fldCharType="separate"/>
            </w:r>
            <w:r>
              <w:rPr>
                <w:noProof/>
                <w:webHidden/>
              </w:rPr>
              <w:t>14</w:t>
            </w:r>
            <w:r>
              <w:rPr>
                <w:noProof/>
                <w:webHidden/>
              </w:rPr>
              <w:fldChar w:fldCharType="end"/>
            </w:r>
          </w:hyperlink>
        </w:p>
        <w:p w14:paraId="793E7834" w14:textId="3D760099" w:rsidR="008C5FE6" w:rsidRDefault="008C5FE6">
          <w:pPr>
            <w:pStyle w:val="TOC2"/>
            <w:tabs>
              <w:tab w:val="right" w:leader="dot" w:pos="9350"/>
            </w:tabs>
            <w:rPr>
              <w:rFonts w:eastAsiaTheme="minorEastAsia"/>
              <w:noProof/>
              <w:kern w:val="2"/>
              <w:sz w:val="24"/>
              <w:szCs w:val="24"/>
              <w:lang w:val="en-GB" w:eastAsia="en-GB"/>
              <w14:ligatures w14:val="standardContextual"/>
            </w:rPr>
          </w:pPr>
          <w:hyperlink w:anchor="_Toc189824319" w:history="1">
            <w:r w:rsidRPr="00DF0895">
              <w:rPr>
                <w:rStyle w:val="Hyperlink"/>
                <w:rFonts w:cstheme="minorHAnsi"/>
                <w:noProof/>
              </w:rPr>
              <w:t>Chart C: Impact of the two contracts signed in Germany to produce sport products for private brands</w:t>
            </w:r>
            <w:r>
              <w:rPr>
                <w:noProof/>
                <w:webHidden/>
              </w:rPr>
              <w:tab/>
            </w:r>
            <w:r>
              <w:rPr>
                <w:noProof/>
                <w:webHidden/>
              </w:rPr>
              <w:fldChar w:fldCharType="begin"/>
            </w:r>
            <w:r>
              <w:rPr>
                <w:noProof/>
                <w:webHidden/>
              </w:rPr>
              <w:instrText xml:space="preserve"> PAGEREF _Toc189824319 \h </w:instrText>
            </w:r>
            <w:r>
              <w:rPr>
                <w:noProof/>
                <w:webHidden/>
              </w:rPr>
            </w:r>
            <w:r>
              <w:rPr>
                <w:noProof/>
                <w:webHidden/>
              </w:rPr>
              <w:fldChar w:fldCharType="separate"/>
            </w:r>
            <w:r>
              <w:rPr>
                <w:noProof/>
                <w:webHidden/>
              </w:rPr>
              <w:t>15</w:t>
            </w:r>
            <w:r>
              <w:rPr>
                <w:noProof/>
                <w:webHidden/>
              </w:rPr>
              <w:fldChar w:fldCharType="end"/>
            </w:r>
          </w:hyperlink>
        </w:p>
        <w:p w14:paraId="6C9669E9" w14:textId="0EDE48ED" w:rsidR="008C5FE6" w:rsidRDefault="008C5FE6">
          <w:pPr>
            <w:pStyle w:val="TOC3"/>
            <w:tabs>
              <w:tab w:val="right" w:leader="dot" w:pos="9350"/>
            </w:tabs>
            <w:rPr>
              <w:rFonts w:eastAsiaTheme="minorEastAsia"/>
              <w:noProof/>
              <w:kern w:val="2"/>
              <w:sz w:val="24"/>
              <w:szCs w:val="24"/>
              <w:lang w:val="en-GB" w:eastAsia="en-GB"/>
              <w14:ligatures w14:val="standardContextual"/>
            </w:rPr>
          </w:pPr>
          <w:hyperlink w:anchor="_Toc189824320" w:history="1">
            <w:r w:rsidRPr="00DF0895">
              <w:rPr>
                <w:rStyle w:val="Hyperlink"/>
                <w:rFonts w:cstheme="minorHAnsi"/>
                <w:noProof/>
              </w:rPr>
              <w:t>Key Findings</w:t>
            </w:r>
            <w:r>
              <w:rPr>
                <w:noProof/>
                <w:webHidden/>
              </w:rPr>
              <w:tab/>
            </w:r>
            <w:r>
              <w:rPr>
                <w:noProof/>
                <w:webHidden/>
              </w:rPr>
              <w:fldChar w:fldCharType="begin"/>
            </w:r>
            <w:r>
              <w:rPr>
                <w:noProof/>
                <w:webHidden/>
              </w:rPr>
              <w:instrText xml:space="preserve"> PAGEREF _Toc189824320 \h </w:instrText>
            </w:r>
            <w:r>
              <w:rPr>
                <w:noProof/>
                <w:webHidden/>
              </w:rPr>
            </w:r>
            <w:r>
              <w:rPr>
                <w:noProof/>
                <w:webHidden/>
              </w:rPr>
              <w:fldChar w:fldCharType="separate"/>
            </w:r>
            <w:r>
              <w:rPr>
                <w:noProof/>
                <w:webHidden/>
              </w:rPr>
              <w:t>15</w:t>
            </w:r>
            <w:r>
              <w:rPr>
                <w:noProof/>
                <w:webHidden/>
              </w:rPr>
              <w:fldChar w:fldCharType="end"/>
            </w:r>
          </w:hyperlink>
        </w:p>
        <w:p w14:paraId="6169F5C5" w14:textId="3845CDF2" w:rsidR="008C5FE6" w:rsidRDefault="008C5FE6">
          <w:pPr>
            <w:pStyle w:val="TOC1"/>
            <w:tabs>
              <w:tab w:val="right" w:leader="dot" w:pos="9350"/>
            </w:tabs>
            <w:rPr>
              <w:rFonts w:eastAsiaTheme="minorEastAsia"/>
              <w:noProof/>
              <w:kern w:val="2"/>
              <w:sz w:val="24"/>
              <w:szCs w:val="24"/>
              <w:lang w:val="en-GB" w:eastAsia="en-GB"/>
              <w14:ligatures w14:val="standardContextual"/>
            </w:rPr>
          </w:pPr>
          <w:hyperlink w:anchor="_Toc189824321" w:history="1">
            <w:r w:rsidRPr="00DF0895">
              <w:rPr>
                <w:rStyle w:val="Hyperlink"/>
                <w:rFonts w:cstheme="minorHAnsi"/>
                <w:noProof/>
              </w:rPr>
              <w:t>Task 5: Conclusions and recommendations</w:t>
            </w:r>
            <w:r>
              <w:rPr>
                <w:noProof/>
                <w:webHidden/>
              </w:rPr>
              <w:tab/>
            </w:r>
            <w:r>
              <w:rPr>
                <w:noProof/>
                <w:webHidden/>
              </w:rPr>
              <w:fldChar w:fldCharType="begin"/>
            </w:r>
            <w:r>
              <w:rPr>
                <w:noProof/>
                <w:webHidden/>
              </w:rPr>
              <w:instrText xml:space="preserve"> PAGEREF _Toc189824321 \h </w:instrText>
            </w:r>
            <w:r>
              <w:rPr>
                <w:noProof/>
                <w:webHidden/>
              </w:rPr>
            </w:r>
            <w:r>
              <w:rPr>
                <w:noProof/>
                <w:webHidden/>
              </w:rPr>
              <w:fldChar w:fldCharType="separate"/>
            </w:r>
            <w:r>
              <w:rPr>
                <w:noProof/>
                <w:webHidden/>
              </w:rPr>
              <w:t>15</w:t>
            </w:r>
            <w:r>
              <w:rPr>
                <w:noProof/>
                <w:webHidden/>
              </w:rPr>
              <w:fldChar w:fldCharType="end"/>
            </w:r>
          </w:hyperlink>
        </w:p>
        <w:p w14:paraId="39067696" w14:textId="486D4EB3" w:rsidR="008C5FE6" w:rsidRDefault="008C5FE6">
          <w:pPr>
            <w:pStyle w:val="TOC2"/>
            <w:tabs>
              <w:tab w:val="right" w:leader="dot" w:pos="9350"/>
            </w:tabs>
            <w:rPr>
              <w:rFonts w:eastAsiaTheme="minorEastAsia"/>
              <w:noProof/>
              <w:kern w:val="2"/>
              <w:sz w:val="24"/>
              <w:szCs w:val="24"/>
              <w:lang w:val="en-GB" w:eastAsia="en-GB"/>
              <w14:ligatures w14:val="standardContextual"/>
            </w:rPr>
          </w:pPr>
          <w:hyperlink w:anchor="_Toc189824322" w:history="1">
            <w:r w:rsidRPr="00DF0895">
              <w:rPr>
                <w:rStyle w:val="Hyperlink"/>
                <w:noProof/>
              </w:rPr>
              <w:t>Conclusion</w:t>
            </w:r>
            <w:r>
              <w:rPr>
                <w:noProof/>
                <w:webHidden/>
              </w:rPr>
              <w:tab/>
            </w:r>
            <w:r>
              <w:rPr>
                <w:noProof/>
                <w:webHidden/>
              </w:rPr>
              <w:fldChar w:fldCharType="begin"/>
            </w:r>
            <w:r>
              <w:rPr>
                <w:noProof/>
                <w:webHidden/>
              </w:rPr>
              <w:instrText xml:space="preserve"> PAGEREF _Toc189824322 \h </w:instrText>
            </w:r>
            <w:r>
              <w:rPr>
                <w:noProof/>
                <w:webHidden/>
              </w:rPr>
            </w:r>
            <w:r>
              <w:rPr>
                <w:noProof/>
                <w:webHidden/>
              </w:rPr>
              <w:fldChar w:fldCharType="separate"/>
            </w:r>
            <w:r>
              <w:rPr>
                <w:noProof/>
                <w:webHidden/>
              </w:rPr>
              <w:t>15</w:t>
            </w:r>
            <w:r>
              <w:rPr>
                <w:noProof/>
                <w:webHidden/>
              </w:rPr>
              <w:fldChar w:fldCharType="end"/>
            </w:r>
          </w:hyperlink>
        </w:p>
        <w:p w14:paraId="4800212C" w14:textId="750230DC" w:rsidR="008C5FE6" w:rsidRDefault="008C5FE6">
          <w:pPr>
            <w:pStyle w:val="TOC2"/>
            <w:tabs>
              <w:tab w:val="right" w:leader="dot" w:pos="9350"/>
            </w:tabs>
            <w:rPr>
              <w:rFonts w:eastAsiaTheme="minorEastAsia"/>
              <w:noProof/>
              <w:kern w:val="2"/>
              <w:sz w:val="24"/>
              <w:szCs w:val="24"/>
              <w:lang w:val="en-GB" w:eastAsia="en-GB"/>
              <w14:ligatures w14:val="standardContextual"/>
            </w:rPr>
          </w:pPr>
          <w:hyperlink w:anchor="_Toc189824323" w:history="1">
            <w:r w:rsidRPr="00DF0895">
              <w:rPr>
                <w:rStyle w:val="Hyperlink"/>
                <w:noProof/>
              </w:rPr>
              <w:t>Strategic Recommendations</w:t>
            </w:r>
            <w:r>
              <w:rPr>
                <w:noProof/>
                <w:webHidden/>
              </w:rPr>
              <w:tab/>
            </w:r>
            <w:r>
              <w:rPr>
                <w:noProof/>
                <w:webHidden/>
              </w:rPr>
              <w:fldChar w:fldCharType="begin"/>
            </w:r>
            <w:r>
              <w:rPr>
                <w:noProof/>
                <w:webHidden/>
              </w:rPr>
              <w:instrText xml:space="preserve"> PAGEREF _Toc189824323 \h </w:instrText>
            </w:r>
            <w:r>
              <w:rPr>
                <w:noProof/>
                <w:webHidden/>
              </w:rPr>
            </w:r>
            <w:r>
              <w:rPr>
                <w:noProof/>
                <w:webHidden/>
              </w:rPr>
              <w:fldChar w:fldCharType="separate"/>
            </w:r>
            <w:r>
              <w:rPr>
                <w:noProof/>
                <w:webHidden/>
              </w:rPr>
              <w:t>16</w:t>
            </w:r>
            <w:r>
              <w:rPr>
                <w:noProof/>
                <w:webHidden/>
              </w:rPr>
              <w:fldChar w:fldCharType="end"/>
            </w:r>
          </w:hyperlink>
        </w:p>
        <w:p w14:paraId="4805762B" w14:textId="34350D78" w:rsidR="008C5FE6" w:rsidRDefault="008C5FE6">
          <w:pPr>
            <w:pStyle w:val="TOC3"/>
            <w:tabs>
              <w:tab w:val="right" w:leader="dot" w:pos="9350"/>
            </w:tabs>
            <w:rPr>
              <w:rFonts w:eastAsiaTheme="minorEastAsia"/>
              <w:noProof/>
              <w:kern w:val="2"/>
              <w:sz w:val="24"/>
              <w:szCs w:val="24"/>
              <w:lang w:val="en-GB" w:eastAsia="en-GB"/>
              <w14:ligatures w14:val="standardContextual"/>
            </w:rPr>
          </w:pPr>
          <w:hyperlink w:anchor="_Toc189824324" w:history="1">
            <w:r w:rsidRPr="00DF0895">
              <w:rPr>
                <w:rStyle w:val="Hyperlink"/>
                <w:noProof/>
              </w:rPr>
              <w:t>Market Entry Priorities</w:t>
            </w:r>
            <w:r>
              <w:rPr>
                <w:noProof/>
                <w:webHidden/>
              </w:rPr>
              <w:tab/>
            </w:r>
            <w:r>
              <w:rPr>
                <w:noProof/>
                <w:webHidden/>
              </w:rPr>
              <w:fldChar w:fldCharType="begin"/>
            </w:r>
            <w:r>
              <w:rPr>
                <w:noProof/>
                <w:webHidden/>
              </w:rPr>
              <w:instrText xml:space="preserve"> PAGEREF _Toc189824324 \h </w:instrText>
            </w:r>
            <w:r>
              <w:rPr>
                <w:noProof/>
                <w:webHidden/>
              </w:rPr>
            </w:r>
            <w:r>
              <w:rPr>
                <w:noProof/>
                <w:webHidden/>
              </w:rPr>
              <w:fldChar w:fldCharType="separate"/>
            </w:r>
            <w:r>
              <w:rPr>
                <w:noProof/>
                <w:webHidden/>
              </w:rPr>
              <w:t>16</w:t>
            </w:r>
            <w:r>
              <w:rPr>
                <w:noProof/>
                <w:webHidden/>
              </w:rPr>
              <w:fldChar w:fldCharType="end"/>
            </w:r>
          </w:hyperlink>
        </w:p>
        <w:p w14:paraId="149319A7" w14:textId="252484D6" w:rsidR="008C5FE6" w:rsidRDefault="008C5FE6">
          <w:pPr>
            <w:pStyle w:val="TOC3"/>
            <w:tabs>
              <w:tab w:val="right" w:leader="dot" w:pos="9350"/>
            </w:tabs>
            <w:rPr>
              <w:rFonts w:eastAsiaTheme="minorEastAsia"/>
              <w:noProof/>
              <w:kern w:val="2"/>
              <w:sz w:val="24"/>
              <w:szCs w:val="24"/>
              <w:lang w:val="en-GB" w:eastAsia="en-GB"/>
              <w14:ligatures w14:val="standardContextual"/>
            </w:rPr>
          </w:pPr>
          <w:hyperlink w:anchor="_Toc189824325" w:history="1">
            <w:r w:rsidRPr="00DF0895">
              <w:rPr>
                <w:rStyle w:val="Hyperlink"/>
                <w:noProof/>
              </w:rPr>
              <w:t>Product Strategy Enhancement</w:t>
            </w:r>
            <w:r>
              <w:rPr>
                <w:noProof/>
                <w:webHidden/>
              </w:rPr>
              <w:tab/>
            </w:r>
            <w:r>
              <w:rPr>
                <w:noProof/>
                <w:webHidden/>
              </w:rPr>
              <w:fldChar w:fldCharType="begin"/>
            </w:r>
            <w:r>
              <w:rPr>
                <w:noProof/>
                <w:webHidden/>
              </w:rPr>
              <w:instrText xml:space="preserve"> PAGEREF _Toc189824325 \h </w:instrText>
            </w:r>
            <w:r>
              <w:rPr>
                <w:noProof/>
                <w:webHidden/>
              </w:rPr>
            </w:r>
            <w:r>
              <w:rPr>
                <w:noProof/>
                <w:webHidden/>
              </w:rPr>
              <w:fldChar w:fldCharType="separate"/>
            </w:r>
            <w:r>
              <w:rPr>
                <w:noProof/>
                <w:webHidden/>
              </w:rPr>
              <w:t>16</w:t>
            </w:r>
            <w:r>
              <w:rPr>
                <w:noProof/>
                <w:webHidden/>
              </w:rPr>
              <w:fldChar w:fldCharType="end"/>
            </w:r>
          </w:hyperlink>
        </w:p>
        <w:p w14:paraId="6A4BE0D3" w14:textId="2A94634C" w:rsidR="008C5FE6" w:rsidRDefault="008C5FE6">
          <w:pPr>
            <w:pStyle w:val="TOC2"/>
            <w:tabs>
              <w:tab w:val="right" w:leader="dot" w:pos="9350"/>
            </w:tabs>
            <w:rPr>
              <w:rFonts w:eastAsiaTheme="minorEastAsia"/>
              <w:noProof/>
              <w:kern w:val="2"/>
              <w:sz w:val="24"/>
              <w:szCs w:val="24"/>
              <w:lang w:val="en-GB" w:eastAsia="en-GB"/>
              <w14:ligatures w14:val="standardContextual"/>
            </w:rPr>
          </w:pPr>
          <w:hyperlink w:anchor="_Toc189824326" w:history="1">
            <w:r w:rsidRPr="00DF0895">
              <w:rPr>
                <w:rStyle w:val="Hyperlink"/>
                <w:noProof/>
              </w:rPr>
              <w:t>Regional Market Approaches</w:t>
            </w:r>
            <w:r>
              <w:rPr>
                <w:noProof/>
                <w:webHidden/>
              </w:rPr>
              <w:tab/>
            </w:r>
            <w:r>
              <w:rPr>
                <w:noProof/>
                <w:webHidden/>
              </w:rPr>
              <w:fldChar w:fldCharType="begin"/>
            </w:r>
            <w:r>
              <w:rPr>
                <w:noProof/>
                <w:webHidden/>
              </w:rPr>
              <w:instrText xml:space="preserve"> PAGEREF _Toc189824326 \h </w:instrText>
            </w:r>
            <w:r>
              <w:rPr>
                <w:noProof/>
                <w:webHidden/>
              </w:rPr>
            </w:r>
            <w:r>
              <w:rPr>
                <w:noProof/>
                <w:webHidden/>
              </w:rPr>
              <w:fldChar w:fldCharType="separate"/>
            </w:r>
            <w:r>
              <w:rPr>
                <w:noProof/>
                <w:webHidden/>
              </w:rPr>
              <w:t>17</w:t>
            </w:r>
            <w:r>
              <w:rPr>
                <w:noProof/>
                <w:webHidden/>
              </w:rPr>
              <w:fldChar w:fldCharType="end"/>
            </w:r>
          </w:hyperlink>
        </w:p>
        <w:p w14:paraId="7BFCF197" w14:textId="7483DC61" w:rsidR="008C5FE6" w:rsidRDefault="008C5FE6">
          <w:pPr>
            <w:pStyle w:val="TOC3"/>
            <w:tabs>
              <w:tab w:val="right" w:leader="dot" w:pos="9350"/>
            </w:tabs>
            <w:rPr>
              <w:rFonts w:eastAsiaTheme="minorEastAsia"/>
              <w:noProof/>
              <w:kern w:val="2"/>
              <w:sz w:val="24"/>
              <w:szCs w:val="24"/>
              <w:lang w:val="en-GB" w:eastAsia="en-GB"/>
              <w14:ligatures w14:val="standardContextual"/>
            </w:rPr>
          </w:pPr>
          <w:hyperlink w:anchor="_Toc189824327" w:history="1">
            <w:r w:rsidRPr="00DF0895">
              <w:rPr>
                <w:rStyle w:val="Hyperlink"/>
                <w:noProof/>
              </w:rPr>
              <w:t>Operational Excellence</w:t>
            </w:r>
            <w:r>
              <w:rPr>
                <w:noProof/>
                <w:webHidden/>
              </w:rPr>
              <w:tab/>
            </w:r>
            <w:r>
              <w:rPr>
                <w:noProof/>
                <w:webHidden/>
              </w:rPr>
              <w:fldChar w:fldCharType="begin"/>
            </w:r>
            <w:r>
              <w:rPr>
                <w:noProof/>
                <w:webHidden/>
              </w:rPr>
              <w:instrText xml:space="preserve"> PAGEREF _Toc189824327 \h </w:instrText>
            </w:r>
            <w:r>
              <w:rPr>
                <w:noProof/>
                <w:webHidden/>
              </w:rPr>
            </w:r>
            <w:r>
              <w:rPr>
                <w:noProof/>
                <w:webHidden/>
              </w:rPr>
              <w:fldChar w:fldCharType="separate"/>
            </w:r>
            <w:r>
              <w:rPr>
                <w:noProof/>
                <w:webHidden/>
              </w:rPr>
              <w:t>17</w:t>
            </w:r>
            <w:r>
              <w:rPr>
                <w:noProof/>
                <w:webHidden/>
              </w:rPr>
              <w:fldChar w:fldCharType="end"/>
            </w:r>
          </w:hyperlink>
        </w:p>
        <w:p w14:paraId="31CD201F" w14:textId="1B1CBD61" w:rsidR="008C5FE6" w:rsidRDefault="008C5FE6">
          <w:pPr>
            <w:pStyle w:val="TOC3"/>
            <w:tabs>
              <w:tab w:val="right" w:leader="dot" w:pos="9350"/>
            </w:tabs>
            <w:rPr>
              <w:rFonts w:eastAsiaTheme="minorEastAsia"/>
              <w:noProof/>
              <w:kern w:val="2"/>
              <w:sz w:val="24"/>
              <w:szCs w:val="24"/>
              <w:lang w:val="en-GB" w:eastAsia="en-GB"/>
              <w14:ligatures w14:val="standardContextual"/>
            </w:rPr>
          </w:pPr>
          <w:hyperlink w:anchor="_Toc189824328" w:history="1">
            <w:r w:rsidRPr="00DF0895">
              <w:rPr>
                <w:rStyle w:val="Hyperlink"/>
                <w:noProof/>
              </w:rPr>
              <w:t>Analytics and Technology</w:t>
            </w:r>
            <w:r>
              <w:rPr>
                <w:noProof/>
                <w:webHidden/>
              </w:rPr>
              <w:tab/>
            </w:r>
            <w:r>
              <w:rPr>
                <w:noProof/>
                <w:webHidden/>
              </w:rPr>
              <w:fldChar w:fldCharType="begin"/>
            </w:r>
            <w:r>
              <w:rPr>
                <w:noProof/>
                <w:webHidden/>
              </w:rPr>
              <w:instrText xml:space="preserve"> PAGEREF _Toc189824328 \h </w:instrText>
            </w:r>
            <w:r>
              <w:rPr>
                <w:noProof/>
                <w:webHidden/>
              </w:rPr>
            </w:r>
            <w:r>
              <w:rPr>
                <w:noProof/>
                <w:webHidden/>
              </w:rPr>
              <w:fldChar w:fldCharType="separate"/>
            </w:r>
            <w:r>
              <w:rPr>
                <w:noProof/>
                <w:webHidden/>
              </w:rPr>
              <w:t>17</w:t>
            </w:r>
            <w:r>
              <w:rPr>
                <w:noProof/>
                <w:webHidden/>
              </w:rPr>
              <w:fldChar w:fldCharType="end"/>
            </w:r>
          </w:hyperlink>
        </w:p>
        <w:p w14:paraId="25561F41" w14:textId="00B0407C" w:rsidR="008C5FE6" w:rsidRDefault="008C5FE6">
          <w:pPr>
            <w:pStyle w:val="TOC3"/>
            <w:tabs>
              <w:tab w:val="right" w:leader="dot" w:pos="9350"/>
            </w:tabs>
            <w:rPr>
              <w:rFonts w:eastAsiaTheme="minorEastAsia"/>
              <w:noProof/>
              <w:kern w:val="2"/>
              <w:sz w:val="24"/>
              <w:szCs w:val="24"/>
              <w:lang w:val="en-GB" w:eastAsia="en-GB"/>
              <w14:ligatures w14:val="standardContextual"/>
            </w:rPr>
          </w:pPr>
          <w:hyperlink w:anchor="_Toc189824329" w:history="1">
            <w:r w:rsidRPr="00DF0895">
              <w:rPr>
                <w:rStyle w:val="Hyperlink"/>
                <w:noProof/>
              </w:rPr>
              <w:t>Sustainability Leadership</w:t>
            </w:r>
            <w:r>
              <w:rPr>
                <w:noProof/>
                <w:webHidden/>
              </w:rPr>
              <w:tab/>
            </w:r>
            <w:r>
              <w:rPr>
                <w:noProof/>
                <w:webHidden/>
              </w:rPr>
              <w:fldChar w:fldCharType="begin"/>
            </w:r>
            <w:r>
              <w:rPr>
                <w:noProof/>
                <w:webHidden/>
              </w:rPr>
              <w:instrText xml:space="preserve"> PAGEREF _Toc189824329 \h </w:instrText>
            </w:r>
            <w:r>
              <w:rPr>
                <w:noProof/>
                <w:webHidden/>
              </w:rPr>
            </w:r>
            <w:r>
              <w:rPr>
                <w:noProof/>
                <w:webHidden/>
              </w:rPr>
              <w:fldChar w:fldCharType="separate"/>
            </w:r>
            <w:r>
              <w:rPr>
                <w:noProof/>
                <w:webHidden/>
              </w:rPr>
              <w:t>17</w:t>
            </w:r>
            <w:r>
              <w:rPr>
                <w:noProof/>
                <w:webHidden/>
              </w:rPr>
              <w:fldChar w:fldCharType="end"/>
            </w:r>
          </w:hyperlink>
        </w:p>
        <w:p w14:paraId="73F9B9DB" w14:textId="77084B59" w:rsidR="008C5FE6" w:rsidRDefault="008C5FE6">
          <w:pPr>
            <w:pStyle w:val="TOC3"/>
            <w:tabs>
              <w:tab w:val="right" w:leader="dot" w:pos="9350"/>
            </w:tabs>
            <w:rPr>
              <w:rFonts w:eastAsiaTheme="minorEastAsia"/>
              <w:noProof/>
              <w:kern w:val="2"/>
              <w:sz w:val="24"/>
              <w:szCs w:val="24"/>
              <w:lang w:val="en-GB" w:eastAsia="en-GB"/>
              <w14:ligatures w14:val="standardContextual"/>
            </w:rPr>
          </w:pPr>
          <w:hyperlink w:anchor="_Toc189824330" w:history="1">
            <w:r w:rsidRPr="00DF0895">
              <w:rPr>
                <w:rStyle w:val="Hyperlink"/>
                <w:noProof/>
              </w:rPr>
              <w:t>Performance Monitoring</w:t>
            </w:r>
            <w:r>
              <w:rPr>
                <w:noProof/>
                <w:webHidden/>
              </w:rPr>
              <w:tab/>
            </w:r>
            <w:r>
              <w:rPr>
                <w:noProof/>
                <w:webHidden/>
              </w:rPr>
              <w:fldChar w:fldCharType="begin"/>
            </w:r>
            <w:r>
              <w:rPr>
                <w:noProof/>
                <w:webHidden/>
              </w:rPr>
              <w:instrText xml:space="preserve"> PAGEREF _Toc189824330 \h </w:instrText>
            </w:r>
            <w:r>
              <w:rPr>
                <w:noProof/>
                <w:webHidden/>
              </w:rPr>
            </w:r>
            <w:r>
              <w:rPr>
                <w:noProof/>
                <w:webHidden/>
              </w:rPr>
              <w:fldChar w:fldCharType="separate"/>
            </w:r>
            <w:r>
              <w:rPr>
                <w:noProof/>
                <w:webHidden/>
              </w:rPr>
              <w:t>17</w:t>
            </w:r>
            <w:r>
              <w:rPr>
                <w:noProof/>
                <w:webHidden/>
              </w:rPr>
              <w:fldChar w:fldCharType="end"/>
            </w:r>
          </w:hyperlink>
        </w:p>
        <w:p w14:paraId="4E5BFE12" w14:textId="39B126D5" w:rsidR="008C5FE6" w:rsidRDefault="008C5FE6">
          <w:pPr>
            <w:pStyle w:val="TOC1"/>
            <w:tabs>
              <w:tab w:val="right" w:leader="dot" w:pos="9350"/>
            </w:tabs>
            <w:rPr>
              <w:rFonts w:eastAsiaTheme="minorEastAsia"/>
              <w:noProof/>
              <w:kern w:val="2"/>
              <w:sz w:val="24"/>
              <w:szCs w:val="24"/>
              <w:lang w:val="en-GB" w:eastAsia="en-GB"/>
              <w14:ligatures w14:val="standardContextual"/>
            </w:rPr>
          </w:pPr>
          <w:hyperlink w:anchor="_Toc189824331" w:history="1">
            <w:r w:rsidRPr="00DF0895">
              <w:rPr>
                <w:rStyle w:val="Hyperlink"/>
                <w:rFonts w:cstheme="minorHAnsi"/>
                <w:noProof/>
              </w:rPr>
              <w:t>References</w:t>
            </w:r>
            <w:r>
              <w:rPr>
                <w:noProof/>
                <w:webHidden/>
              </w:rPr>
              <w:tab/>
            </w:r>
            <w:r>
              <w:rPr>
                <w:noProof/>
                <w:webHidden/>
              </w:rPr>
              <w:fldChar w:fldCharType="begin"/>
            </w:r>
            <w:r>
              <w:rPr>
                <w:noProof/>
                <w:webHidden/>
              </w:rPr>
              <w:instrText xml:space="preserve"> PAGEREF _Toc189824331 \h </w:instrText>
            </w:r>
            <w:r>
              <w:rPr>
                <w:noProof/>
                <w:webHidden/>
              </w:rPr>
            </w:r>
            <w:r>
              <w:rPr>
                <w:noProof/>
                <w:webHidden/>
              </w:rPr>
              <w:fldChar w:fldCharType="separate"/>
            </w:r>
            <w:r>
              <w:rPr>
                <w:noProof/>
                <w:webHidden/>
              </w:rPr>
              <w:t>18</w:t>
            </w:r>
            <w:r>
              <w:rPr>
                <w:noProof/>
                <w:webHidden/>
              </w:rPr>
              <w:fldChar w:fldCharType="end"/>
            </w:r>
          </w:hyperlink>
        </w:p>
        <w:p w14:paraId="355CE6FF" w14:textId="3A2EC797" w:rsidR="00B875DB" w:rsidRDefault="00B875DB">
          <w:r w:rsidRPr="00252E86">
            <w:rPr>
              <w:b/>
              <w:bCs/>
              <w:noProof/>
              <w:sz w:val="24"/>
              <w:szCs w:val="24"/>
            </w:rPr>
            <w:fldChar w:fldCharType="end"/>
          </w:r>
        </w:p>
      </w:sdtContent>
    </w:sdt>
    <w:p w14:paraId="481691D0" w14:textId="77777777" w:rsidR="00B875DB" w:rsidRDefault="00B875DB" w:rsidP="002B5E9E">
      <w:pPr>
        <w:jc w:val="center"/>
        <w:rPr>
          <w:b/>
          <w:sz w:val="32"/>
        </w:rPr>
      </w:pPr>
    </w:p>
    <w:p w14:paraId="24E4B5DA" w14:textId="77777777" w:rsidR="00B875DB" w:rsidRDefault="00B875DB">
      <w:pPr>
        <w:rPr>
          <w:b/>
          <w:sz w:val="32"/>
        </w:rPr>
      </w:pPr>
      <w:r>
        <w:rPr>
          <w:b/>
          <w:sz w:val="32"/>
        </w:rPr>
        <w:br w:type="page"/>
      </w:r>
    </w:p>
    <w:p w14:paraId="75212523" w14:textId="0F51E213" w:rsidR="002B5E9E" w:rsidRPr="002B5E9E" w:rsidRDefault="009637D7" w:rsidP="002B5E9E">
      <w:pPr>
        <w:jc w:val="center"/>
        <w:rPr>
          <w:b/>
          <w:sz w:val="32"/>
        </w:rPr>
      </w:pPr>
      <w:r w:rsidRPr="009637D7">
        <w:rPr>
          <w:b/>
          <w:sz w:val="32"/>
        </w:rPr>
        <w:lastRenderedPageBreak/>
        <w:t>Strategic Market Analysis and Growth Assessment: A Performance Review of Olympic Sports Ltd.'s European Operations</w:t>
      </w:r>
    </w:p>
    <w:p w14:paraId="139AB1B8" w14:textId="77777777" w:rsidR="007F39E5" w:rsidRPr="0027364A" w:rsidRDefault="0027364A" w:rsidP="0027364A">
      <w:pPr>
        <w:pStyle w:val="Heading1"/>
        <w:rPr>
          <w:rFonts w:cstheme="minorHAnsi"/>
          <w:b w:val="0"/>
        </w:rPr>
      </w:pPr>
      <w:bookmarkStart w:id="1" w:name="_Toc189824298"/>
      <w:r w:rsidRPr="0027364A">
        <w:rPr>
          <w:rFonts w:cstheme="minorHAnsi"/>
        </w:rPr>
        <w:t>Introduction</w:t>
      </w:r>
      <w:bookmarkEnd w:id="1"/>
    </w:p>
    <w:p w14:paraId="30A09904" w14:textId="73B03FDF" w:rsidR="0027364A" w:rsidRDefault="00252E86" w:rsidP="0027364A">
      <w:pPr>
        <w:spacing w:line="360" w:lineRule="auto"/>
        <w:jc w:val="both"/>
        <w:rPr>
          <w:sz w:val="24"/>
        </w:rPr>
      </w:pPr>
      <w:r w:rsidRPr="00252E86">
        <w:rPr>
          <w:sz w:val="24"/>
        </w:rPr>
        <w:t>The evaluation review covers Olympic Sports Ltd.'s European market business operations to study 2020-2022 sales data. The analysis of market trends together with product portfolio effectiveness and operational metrics in the UK French and German subsidiaries will help identify strategic business opportunities that can improve the company's business model. The evaluation focuses on three critical components which are benchmarking regional performance while examining both product categories and the assessment of domestic manufacturing for private labels. The analysis shows Germany presents substantial market possibilities together with multiple chances for both business growth and operational excellence</w:t>
      </w:r>
      <w:r w:rsidR="0027364A" w:rsidRPr="0027364A">
        <w:rPr>
          <w:sz w:val="24"/>
        </w:rPr>
        <w:t>.</w:t>
      </w:r>
    </w:p>
    <w:p w14:paraId="087E5761" w14:textId="77777777" w:rsidR="009637D7" w:rsidRPr="009637D7" w:rsidRDefault="009637D7" w:rsidP="007D5A25">
      <w:pPr>
        <w:pStyle w:val="Heading1"/>
      </w:pPr>
      <w:bookmarkStart w:id="2" w:name="_Toc189824299"/>
      <w:r w:rsidRPr="009637D7">
        <w:t>Task 1: Introduction and Project Plan</w:t>
      </w:r>
      <w:bookmarkEnd w:id="2"/>
    </w:p>
    <w:p w14:paraId="71EACAF9" w14:textId="56567575" w:rsidR="009637D7" w:rsidRPr="009637D7" w:rsidRDefault="00252E86" w:rsidP="009637D7">
      <w:pPr>
        <w:spacing w:line="360" w:lineRule="auto"/>
        <w:jc w:val="both"/>
        <w:rPr>
          <w:sz w:val="24"/>
        </w:rPr>
      </w:pPr>
      <w:r w:rsidRPr="00252E86">
        <w:rPr>
          <w:sz w:val="24"/>
        </w:rPr>
        <w:t>Currently, Olympic Sports Ltd. is a UK based sportswear manufacturer and exporter who has penetrated the European market aggressively by supplying its products to number of major French and German high street retailers. Considering, the contemporary business environment where decision-making is based on data analysis, the company appreciates the importance of analysis in making strategic choices for sustainable development (Gade, 2021). The objective of this analysis is to work towards assessing organization’s effectiveness of the company’s operations in the European region and identify if its business model is suitable for its future growth or if forms the need for diversification</w:t>
      </w:r>
      <w:r w:rsidR="009637D7" w:rsidRPr="009637D7">
        <w:rPr>
          <w:sz w:val="24"/>
        </w:rPr>
        <w:t>.</w:t>
      </w:r>
    </w:p>
    <w:p w14:paraId="5779AF23" w14:textId="77777777" w:rsidR="009637D7" w:rsidRPr="009637D7" w:rsidRDefault="009637D7" w:rsidP="007D5A25">
      <w:pPr>
        <w:pStyle w:val="Heading2"/>
      </w:pPr>
      <w:bookmarkStart w:id="3" w:name="_Toc189824300"/>
      <w:r w:rsidRPr="009637D7">
        <w:t>Project Implementation Framework</w:t>
      </w:r>
      <w:bookmarkEnd w:id="3"/>
    </w:p>
    <w:p w14:paraId="7240B524" w14:textId="096CADB5" w:rsidR="009637D7" w:rsidRPr="009637D7" w:rsidRDefault="00252E86" w:rsidP="009637D7">
      <w:pPr>
        <w:spacing w:line="360" w:lineRule="auto"/>
        <w:jc w:val="both"/>
        <w:rPr>
          <w:sz w:val="24"/>
        </w:rPr>
      </w:pPr>
      <w:r w:rsidRPr="00252E86">
        <w:rPr>
          <w:sz w:val="24"/>
        </w:rPr>
        <w:t>This work follows the CRISP-DM methodology which is used in organization to deliver a structured approach to make insights from sales data analysis and solution developed (Peker and Kart, 2023)</w:t>
      </w:r>
      <w:r w:rsidR="009637D7" w:rsidRPr="009637D7">
        <w:rPr>
          <w:sz w:val="24"/>
        </w:rPr>
        <w:t>.</w:t>
      </w:r>
    </w:p>
    <w:p w14:paraId="377227B4" w14:textId="77777777" w:rsidR="009637D7" w:rsidRPr="009637D7" w:rsidRDefault="009637D7" w:rsidP="007D5A25">
      <w:pPr>
        <w:pStyle w:val="Heading3"/>
      </w:pPr>
      <w:bookmarkStart w:id="4" w:name="_Toc189824301"/>
      <w:r w:rsidRPr="009637D7">
        <w:t>Strategic Objectives</w:t>
      </w:r>
      <w:bookmarkEnd w:id="4"/>
    </w:p>
    <w:p w14:paraId="316A0786" w14:textId="77777777" w:rsidR="009637D7" w:rsidRPr="009637D7" w:rsidRDefault="009637D7" w:rsidP="009637D7">
      <w:pPr>
        <w:spacing w:line="360" w:lineRule="auto"/>
        <w:jc w:val="both"/>
        <w:rPr>
          <w:sz w:val="24"/>
        </w:rPr>
      </w:pPr>
      <w:r w:rsidRPr="009637D7">
        <w:rPr>
          <w:sz w:val="24"/>
        </w:rPr>
        <w:t>The analysis centers on three critical business questions:</w:t>
      </w:r>
    </w:p>
    <w:p w14:paraId="4BAF5F12" w14:textId="77777777" w:rsidR="009637D7" w:rsidRPr="009637D7" w:rsidRDefault="009637D7" w:rsidP="009637D7">
      <w:pPr>
        <w:numPr>
          <w:ilvl w:val="0"/>
          <w:numId w:val="16"/>
        </w:numPr>
        <w:spacing w:line="360" w:lineRule="auto"/>
        <w:jc w:val="both"/>
        <w:rPr>
          <w:sz w:val="24"/>
        </w:rPr>
      </w:pPr>
      <w:r w:rsidRPr="009637D7">
        <w:rPr>
          <w:sz w:val="24"/>
        </w:rPr>
        <w:t>Optimal market selection for flagship branded retail expansion</w:t>
      </w:r>
    </w:p>
    <w:p w14:paraId="21DF02A4" w14:textId="77777777" w:rsidR="009637D7" w:rsidRPr="009637D7" w:rsidRDefault="009637D7" w:rsidP="009637D7">
      <w:pPr>
        <w:numPr>
          <w:ilvl w:val="0"/>
          <w:numId w:val="16"/>
        </w:numPr>
        <w:spacing w:line="360" w:lineRule="auto"/>
        <w:jc w:val="both"/>
        <w:rPr>
          <w:sz w:val="24"/>
        </w:rPr>
      </w:pPr>
      <w:r w:rsidRPr="009637D7">
        <w:rPr>
          <w:sz w:val="24"/>
        </w:rPr>
        <w:lastRenderedPageBreak/>
        <w:t>Identification of high-potential product categories for development focus</w:t>
      </w:r>
    </w:p>
    <w:p w14:paraId="037523E6" w14:textId="77777777" w:rsidR="009637D7" w:rsidRPr="009637D7" w:rsidRDefault="009637D7" w:rsidP="009637D7">
      <w:pPr>
        <w:numPr>
          <w:ilvl w:val="0"/>
          <w:numId w:val="16"/>
        </w:numPr>
        <w:spacing w:line="360" w:lineRule="auto"/>
        <w:jc w:val="both"/>
        <w:rPr>
          <w:sz w:val="24"/>
        </w:rPr>
      </w:pPr>
      <w:r w:rsidRPr="009637D7">
        <w:rPr>
          <w:sz w:val="24"/>
        </w:rPr>
        <w:t>Assessment of private label manufacturing impact on German operations</w:t>
      </w:r>
    </w:p>
    <w:p w14:paraId="3FEEEB9F" w14:textId="77777777" w:rsidR="009637D7" w:rsidRPr="009637D7" w:rsidRDefault="009637D7" w:rsidP="007D5A25">
      <w:pPr>
        <w:pStyle w:val="Heading3"/>
      </w:pPr>
      <w:bookmarkStart w:id="5" w:name="_Toc189824302"/>
      <w:r w:rsidRPr="009637D7">
        <w:t>Methodological Approach</w:t>
      </w:r>
      <w:bookmarkEnd w:id="5"/>
    </w:p>
    <w:p w14:paraId="4BD20E06" w14:textId="77777777" w:rsidR="009637D7" w:rsidRPr="009637D7" w:rsidRDefault="009637D7" w:rsidP="009637D7">
      <w:pPr>
        <w:spacing w:line="360" w:lineRule="auto"/>
        <w:jc w:val="both"/>
        <w:rPr>
          <w:b/>
          <w:bCs/>
          <w:sz w:val="24"/>
        </w:rPr>
      </w:pPr>
      <w:r w:rsidRPr="009637D7">
        <w:rPr>
          <w:b/>
          <w:bCs/>
          <w:sz w:val="24"/>
        </w:rPr>
        <w:t>Data Sources and Tools:</w:t>
      </w:r>
    </w:p>
    <w:p w14:paraId="5470DF29" w14:textId="77777777" w:rsidR="009637D7" w:rsidRPr="009637D7" w:rsidRDefault="009637D7" w:rsidP="009637D7">
      <w:pPr>
        <w:numPr>
          <w:ilvl w:val="0"/>
          <w:numId w:val="17"/>
        </w:numPr>
        <w:spacing w:line="360" w:lineRule="auto"/>
        <w:jc w:val="both"/>
        <w:rPr>
          <w:sz w:val="24"/>
        </w:rPr>
      </w:pPr>
      <w:r w:rsidRPr="009637D7">
        <w:rPr>
          <w:sz w:val="24"/>
        </w:rPr>
        <w:t>Comprehensive sales records from UK, French, and German operations</w:t>
      </w:r>
    </w:p>
    <w:p w14:paraId="092DFFB7" w14:textId="77777777" w:rsidR="009637D7" w:rsidRPr="009637D7" w:rsidRDefault="009637D7" w:rsidP="009637D7">
      <w:pPr>
        <w:numPr>
          <w:ilvl w:val="0"/>
          <w:numId w:val="17"/>
        </w:numPr>
        <w:spacing w:line="360" w:lineRule="auto"/>
        <w:jc w:val="both"/>
        <w:rPr>
          <w:sz w:val="24"/>
        </w:rPr>
      </w:pPr>
      <w:r w:rsidRPr="009637D7">
        <w:rPr>
          <w:sz w:val="24"/>
        </w:rPr>
        <w:t>Performance metrics including regional market penetration, category growth, and operational efficiency</w:t>
      </w:r>
    </w:p>
    <w:p w14:paraId="44B7BE76" w14:textId="77777777" w:rsidR="009637D7" w:rsidRPr="009637D7" w:rsidRDefault="009637D7" w:rsidP="009637D7">
      <w:pPr>
        <w:numPr>
          <w:ilvl w:val="0"/>
          <w:numId w:val="17"/>
        </w:numPr>
        <w:spacing w:line="360" w:lineRule="auto"/>
        <w:jc w:val="both"/>
        <w:rPr>
          <w:sz w:val="24"/>
        </w:rPr>
      </w:pPr>
      <w:r w:rsidRPr="009637D7">
        <w:rPr>
          <w:sz w:val="24"/>
        </w:rPr>
        <w:t>Advanced analytics platforms for data processing and visualization</w:t>
      </w:r>
    </w:p>
    <w:p w14:paraId="58128A6F" w14:textId="77777777" w:rsidR="009637D7" w:rsidRPr="009637D7" w:rsidRDefault="009637D7" w:rsidP="009637D7">
      <w:pPr>
        <w:numPr>
          <w:ilvl w:val="0"/>
          <w:numId w:val="17"/>
        </w:numPr>
        <w:spacing w:line="360" w:lineRule="auto"/>
        <w:jc w:val="both"/>
        <w:rPr>
          <w:sz w:val="24"/>
        </w:rPr>
      </w:pPr>
      <w:r w:rsidRPr="009637D7">
        <w:rPr>
          <w:sz w:val="24"/>
        </w:rPr>
        <w:t>Statistical analysis tools for pattern identification and trend validation</w:t>
      </w:r>
    </w:p>
    <w:p w14:paraId="5A55AECC" w14:textId="77777777" w:rsidR="009637D7" w:rsidRPr="009637D7" w:rsidRDefault="009637D7" w:rsidP="009637D7">
      <w:pPr>
        <w:spacing w:line="360" w:lineRule="auto"/>
        <w:jc w:val="both"/>
        <w:rPr>
          <w:b/>
          <w:bCs/>
          <w:sz w:val="24"/>
        </w:rPr>
      </w:pPr>
      <w:r w:rsidRPr="009637D7">
        <w:rPr>
          <w:b/>
          <w:bCs/>
          <w:sz w:val="24"/>
        </w:rPr>
        <w:t>Key Performance Indicators:</w:t>
      </w:r>
    </w:p>
    <w:p w14:paraId="241FA639" w14:textId="77777777" w:rsidR="009637D7" w:rsidRPr="009637D7" w:rsidRDefault="009637D7" w:rsidP="009637D7">
      <w:pPr>
        <w:numPr>
          <w:ilvl w:val="0"/>
          <w:numId w:val="18"/>
        </w:numPr>
        <w:spacing w:line="360" w:lineRule="auto"/>
        <w:jc w:val="both"/>
        <w:rPr>
          <w:sz w:val="24"/>
        </w:rPr>
      </w:pPr>
      <w:r w:rsidRPr="009637D7">
        <w:rPr>
          <w:sz w:val="24"/>
        </w:rPr>
        <w:t>Revenue growth trajectories</w:t>
      </w:r>
    </w:p>
    <w:p w14:paraId="6D389193" w14:textId="77777777" w:rsidR="009637D7" w:rsidRPr="009637D7" w:rsidRDefault="009637D7" w:rsidP="009637D7">
      <w:pPr>
        <w:numPr>
          <w:ilvl w:val="0"/>
          <w:numId w:val="18"/>
        </w:numPr>
        <w:spacing w:line="360" w:lineRule="auto"/>
        <w:jc w:val="both"/>
        <w:rPr>
          <w:sz w:val="24"/>
        </w:rPr>
      </w:pPr>
      <w:r w:rsidRPr="009637D7">
        <w:rPr>
          <w:sz w:val="24"/>
        </w:rPr>
        <w:t>Market position metrics</w:t>
      </w:r>
    </w:p>
    <w:p w14:paraId="2E35AF70" w14:textId="77777777" w:rsidR="009637D7" w:rsidRPr="009637D7" w:rsidRDefault="009637D7" w:rsidP="009637D7">
      <w:pPr>
        <w:numPr>
          <w:ilvl w:val="0"/>
          <w:numId w:val="18"/>
        </w:numPr>
        <w:spacing w:line="360" w:lineRule="auto"/>
        <w:jc w:val="both"/>
        <w:rPr>
          <w:sz w:val="24"/>
        </w:rPr>
      </w:pPr>
      <w:r w:rsidRPr="009637D7">
        <w:rPr>
          <w:sz w:val="24"/>
        </w:rPr>
        <w:t>Operational efficiency measures</w:t>
      </w:r>
    </w:p>
    <w:p w14:paraId="5C98190D" w14:textId="77777777" w:rsidR="009637D7" w:rsidRPr="009637D7" w:rsidRDefault="009637D7" w:rsidP="009637D7">
      <w:pPr>
        <w:numPr>
          <w:ilvl w:val="0"/>
          <w:numId w:val="18"/>
        </w:numPr>
        <w:spacing w:line="360" w:lineRule="auto"/>
        <w:jc w:val="both"/>
        <w:rPr>
          <w:sz w:val="24"/>
        </w:rPr>
      </w:pPr>
      <w:r w:rsidRPr="009637D7">
        <w:rPr>
          <w:sz w:val="24"/>
        </w:rPr>
        <w:t>Product portfolio performance</w:t>
      </w:r>
    </w:p>
    <w:p w14:paraId="5205FEDC" w14:textId="77777777" w:rsidR="009637D7" w:rsidRPr="009637D7" w:rsidRDefault="009637D7" w:rsidP="009637D7">
      <w:pPr>
        <w:numPr>
          <w:ilvl w:val="0"/>
          <w:numId w:val="18"/>
        </w:numPr>
        <w:spacing w:line="360" w:lineRule="auto"/>
        <w:jc w:val="both"/>
        <w:rPr>
          <w:sz w:val="24"/>
        </w:rPr>
      </w:pPr>
      <w:r w:rsidRPr="009637D7">
        <w:rPr>
          <w:sz w:val="24"/>
        </w:rPr>
        <w:t>Supply chain effectiveness</w:t>
      </w:r>
    </w:p>
    <w:p w14:paraId="4B0F106B" w14:textId="77777777" w:rsidR="009637D7" w:rsidRPr="009637D7" w:rsidRDefault="009637D7" w:rsidP="009637D7">
      <w:pPr>
        <w:numPr>
          <w:ilvl w:val="0"/>
          <w:numId w:val="18"/>
        </w:numPr>
        <w:spacing w:line="360" w:lineRule="auto"/>
        <w:jc w:val="both"/>
        <w:rPr>
          <w:sz w:val="24"/>
        </w:rPr>
      </w:pPr>
      <w:r w:rsidRPr="009637D7">
        <w:rPr>
          <w:sz w:val="24"/>
        </w:rPr>
        <w:t>Customer engagement metrics</w:t>
      </w:r>
    </w:p>
    <w:p w14:paraId="1BF5B230" w14:textId="77777777" w:rsidR="009637D7" w:rsidRPr="009637D7" w:rsidRDefault="009637D7" w:rsidP="009637D7">
      <w:pPr>
        <w:spacing w:line="360" w:lineRule="auto"/>
        <w:jc w:val="both"/>
        <w:rPr>
          <w:b/>
          <w:bCs/>
          <w:sz w:val="24"/>
        </w:rPr>
      </w:pPr>
      <w:r w:rsidRPr="009637D7">
        <w:rPr>
          <w:b/>
          <w:bCs/>
          <w:sz w:val="24"/>
        </w:rPr>
        <w:t>Data Processing Protocol:</w:t>
      </w:r>
    </w:p>
    <w:p w14:paraId="3BC1A2B2" w14:textId="77777777" w:rsidR="009637D7" w:rsidRPr="009637D7" w:rsidRDefault="009637D7" w:rsidP="009637D7">
      <w:pPr>
        <w:numPr>
          <w:ilvl w:val="0"/>
          <w:numId w:val="19"/>
        </w:numPr>
        <w:spacing w:line="360" w:lineRule="auto"/>
        <w:jc w:val="both"/>
        <w:rPr>
          <w:sz w:val="24"/>
        </w:rPr>
      </w:pPr>
      <w:r w:rsidRPr="009637D7">
        <w:rPr>
          <w:sz w:val="24"/>
        </w:rPr>
        <w:t>Rigorous data validation and cleaning</w:t>
      </w:r>
    </w:p>
    <w:p w14:paraId="0E8B568A" w14:textId="77777777" w:rsidR="009637D7" w:rsidRPr="009637D7" w:rsidRDefault="009637D7" w:rsidP="009637D7">
      <w:pPr>
        <w:numPr>
          <w:ilvl w:val="0"/>
          <w:numId w:val="19"/>
        </w:numPr>
        <w:spacing w:line="360" w:lineRule="auto"/>
        <w:jc w:val="both"/>
        <w:rPr>
          <w:sz w:val="24"/>
        </w:rPr>
      </w:pPr>
      <w:r w:rsidRPr="009637D7">
        <w:rPr>
          <w:sz w:val="24"/>
        </w:rPr>
        <w:t>Standardization of reporting formats</w:t>
      </w:r>
    </w:p>
    <w:p w14:paraId="1283B7BD" w14:textId="77777777" w:rsidR="009637D7" w:rsidRPr="009637D7" w:rsidRDefault="009637D7" w:rsidP="009637D7">
      <w:pPr>
        <w:numPr>
          <w:ilvl w:val="0"/>
          <w:numId w:val="19"/>
        </w:numPr>
        <w:spacing w:line="360" w:lineRule="auto"/>
        <w:jc w:val="both"/>
        <w:rPr>
          <w:sz w:val="24"/>
        </w:rPr>
      </w:pPr>
      <w:r w:rsidRPr="009637D7">
        <w:rPr>
          <w:sz w:val="24"/>
        </w:rPr>
        <w:t>Integration of cross-market datasets</w:t>
      </w:r>
    </w:p>
    <w:p w14:paraId="622C8BB3" w14:textId="77777777" w:rsidR="009637D7" w:rsidRPr="009637D7" w:rsidRDefault="009637D7" w:rsidP="009637D7">
      <w:pPr>
        <w:numPr>
          <w:ilvl w:val="0"/>
          <w:numId w:val="19"/>
        </w:numPr>
        <w:spacing w:line="360" w:lineRule="auto"/>
        <w:jc w:val="both"/>
        <w:rPr>
          <w:sz w:val="24"/>
        </w:rPr>
      </w:pPr>
      <w:r w:rsidRPr="009637D7">
        <w:rPr>
          <w:sz w:val="24"/>
        </w:rPr>
        <w:t>Quality assurance protocols</w:t>
      </w:r>
    </w:p>
    <w:p w14:paraId="7155FD19" w14:textId="77777777" w:rsidR="00BD3282" w:rsidRDefault="00BD3282" w:rsidP="009637D7">
      <w:pPr>
        <w:spacing w:line="360" w:lineRule="auto"/>
        <w:jc w:val="both"/>
        <w:rPr>
          <w:b/>
          <w:bCs/>
          <w:sz w:val="24"/>
        </w:rPr>
      </w:pPr>
    </w:p>
    <w:p w14:paraId="61F83B26" w14:textId="0C10889F" w:rsidR="009637D7" w:rsidRPr="009637D7" w:rsidRDefault="009637D7" w:rsidP="009637D7">
      <w:pPr>
        <w:spacing w:line="360" w:lineRule="auto"/>
        <w:jc w:val="both"/>
        <w:rPr>
          <w:b/>
          <w:bCs/>
          <w:sz w:val="24"/>
        </w:rPr>
      </w:pPr>
      <w:r w:rsidRPr="009637D7">
        <w:rPr>
          <w:b/>
          <w:bCs/>
          <w:sz w:val="24"/>
        </w:rPr>
        <w:lastRenderedPageBreak/>
        <w:t>Analytical Framework:</w:t>
      </w:r>
    </w:p>
    <w:p w14:paraId="0B021AF1" w14:textId="77777777" w:rsidR="009637D7" w:rsidRPr="009637D7" w:rsidRDefault="009637D7" w:rsidP="009637D7">
      <w:pPr>
        <w:numPr>
          <w:ilvl w:val="0"/>
          <w:numId w:val="20"/>
        </w:numPr>
        <w:spacing w:line="360" w:lineRule="auto"/>
        <w:jc w:val="both"/>
        <w:rPr>
          <w:sz w:val="24"/>
        </w:rPr>
      </w:pPr>
      <w:r w:rsidRPr="009637D7">
        <w:rPr>
          <w:sz w:val="24"/>
        </w:rPr>
        <w:t>Trend analysis and pattern recognition</w:t>
      </w:r>
    </w:p>
    <w:p w14:paraId="6AD045DF" w14:textId="77777777" w:rsidR="009637D7" w:rsidRPr="009637D7" w:rsidRDefault="009637D7" w:rsidP="009637D7">
      <w:pPr>
        <w:numPr>
          <w:ilvl w:val="0"/>
          <w:numId w:val="20"/>
        </w:numPr>
        <w:spacing w:line="360" w:lineRule="auto"/>
        <w:jc w:val="both"/>
        <w:rPr>
          <w:sz w:val="24"/>
        </w:rPr>
      </w:pPr>
      <w:r w:rsidRPr="009637D7">
        <w:rPr>
          <w:sz w:val="24"/>
        </w:rPr>
        <w:t>Comparative market performance assessment</w:t>
      </w:r>
    </w:p>
    <w:p w14:paraId="5315704D" w14:textId="77777777" w:rsidR="009637D7" w:rsidRPr="009637D7" w:rsidRDefault="009637D7" w:rsidP="009637D7">
      <w:pPr>
        <w:numPr>
          <w:ilvl w:val="0"/>
          <w:numId w:val="20"/>
        </w:numPr>
        <w:spacing w:line="360" w:lineRule="auto"/>
        <w:jc w:val="both"/>
        <w:rPr>
          <w:sz w:val="24"/>
        </w:rPr>
      </w:pPr>
      <w:r w:rsidRPr="009637D7">
        <w:rPr>
          <w:sz w:val="24"/>
        </w:rPr>
        <w:t>Product category optimization analysis</w:t>
      </w:r>
    </w:p>
    <w:p w14:paraId="78821036" w14:textId="77777777" w:rsidR="009637D7" w:rsidRPr="009637D7" w:rsidRDefault="009637D7" w:rsidP="009637D7">
      <w:pPr>
        <w:numPr>
          <w:ilvl w:val="0"/>
          <w:numId w:val="20"/>
        </w:numPr>
        <w:spacing w:line="360" w:lineRule="auto"/>
        <w:jc w:val="both"/>
        <w:rPr>
          <w:sz w:val="24"/>
        </w:rPr>
      </w:pPr>
      <w:r w:rsidRPr="009637D7">
        <w:rPr>
          <w:sz w:val="24"/>
        </w:rPr>
        <w:t>Impact assessment of strategic initiatives</w:t>
      </w:r>
    </w:p>
    <w:p w14:paraId="345B8B9B" w14:textId="77777777" w:rsidR="009637D7" w:rsidRPr="007D5A25" w:rsidRDefault="009637D7" w:rsidP="009637D7">
      <w:pPr>
        <w:spacing w:line="360" w:lineRule="auto"/>
        <w:jc w:val="both"/>
        <w:rPr>
          <w:b/>
          <w:bCs/>
          <w:sz w:val="24"/>
        </w:rPr>
      </w:pPr>
      <w:r w:rsidRPr="009637D7">
        <w:rPr>
          <w:b/>
          <w:bCs/>
          <w:sz w:val="24"/>
        </w:rPr>
        <w:t xml:space="preserve">Expected Deliverables: </w:t>
      </w:r>
    </w:p>
    <w:p w14:paraId="30B4EA71" w14:textId="5619BC59" w:rsidR="009637D7" w:rsidRPr="009637D7" w:rsidRDefault="009637D7" w:rsidP="009637D7">
      <w:pPr>
        <w:spacing w:line="360" w:lineRule="auto"/>
        <w:jc w:val="both"/>
        <w:rPr>
          <w:sz w:val="24"/>
        </w:rPr>
      </w:pPr>
      <w:r w:rsidRPr="009637D7">
        <w:rPr>
          <w:sz w:val="24"/>
        </w:rPr>
        <w:t>The analysis will yield evidence-based recommendations for:</w:t>
      </w:r>
    </w:p>
    <w:p w14:paraId="2792D096" w14:textId="77777777" w:rsidR="009637D7" w:rsidRPr="009637D7" w:rsidRDefault="009637D7" w:rsidP="009637D7">
      <w:pPr>
        <w:numPr>
          <w:ilvl w:val="0"/>
          <w:numId w:val="21"/>
        </w:numPr>
        <w:spacing w:line="360" w:lineRule="auto"/>
        <w:jc w:val="both"/>
        <w:rPr>
          <w:sz w:val="24"/>
        </w:rPr>
      </w:pPr>
      <w:r w:rsidRPr="009637D7">
        <w:rPr>
          <w:sz w:val="24"/>
        </w:rPr>
        <w:t>Market expansion strategy</w:t>
      </w:r>
    </w:p>
    <w:p w14:paraId="4658D4AC" w14:textId="77777777" w:rsidR="009637D7" w:rsidRPr="009637D7" w:rsidRDefault="009637D7" w:rsidP="009637D7">
      <w:pPr>
        <w:numPr>
          <w:ilvl w:val="0"/>
          <w:numId w:val="21"/>
        </w:numPr>
        <w:spacing w:line="360" w:lineRule="auto"/>
        <w:jc w:val="both"/>
        <w:rPr>
          <w:sz w:val="24"/>
        </w:rPr>
      </w:pPr>
      <w:r w:rsidRPr="009637D7">
        <w:rPr>
          <w:sz w:val="24"/>
        </w:rPr>
        <w:t>Product development prioritization</w:t>
      </w:r>
    </w:p>
    <w:p w14:paraId="58E39D94" w14:textId="77777777" w:rsidR="009637D7" w:rsidRPr="009637D7" w:rsidRDefault="009637D7" w:rsidP="009637D7">
      <w:pPr>
        <w:numPr>
          <w:ilvl w:val="0"/>
          <w:numId w:val="21"/>
        </w:numPr>
        <w:spacing w:line="360" w:lineRule="auto"/>
        <w:jc w:val="both"/>
        <w:rPr>
          <w:sz w:val="24"/>
        </w:rPr>
      </w:pPr>
      <w:r w:rsidRPr="009637D7">
        <w:rPr>
          <w:sz w:val="24"/>
        </w:rPr>
        <w:t>Operational optimization opportunities</w:t>
      </w:r>
    </w:p>
    <w:p w14:paraId="2E0471F7" w14:textId="783DCB60" w:rsidR="0027364A" w:rsidRDefault="00252E86" w:rsidP="0027364A">
      <w:pPr>
        <w:spacing w:line="360" w:lineRule="auto"/>
        <w:jc w:val="both"/>
        <w:rPr>
          <w:sz w:val="24"/>
        </w:rPr>
      </w:pPr>
      <w:r w:rsidRPr="00252E86">
        <w:rPr>
          <w:sz w:val="24"/>
        </w:rPr>
        <w:t>This systematic approach will help to comprehend the current state of affairs in Olympic Sports Ltd., as well as reveal distinct potential prospects for its development in the European sphere</w:t>
      </w:r>
      <w:r w:rsidR="009637D7" w:rsidRPr="009637D7">
        <w:rPr>
          <w:sz w:val="24"/>
        </w:rPr>
        <w:t>.</w:t>
      </w:r>
    </w:p>
    <w:p w14:paraId="5BD5B280" w14:textId="77777777" w:rsidR="007D5A25" w:rsidRDefault="009637D7" w:rsidP="007D5A25">
      <w:pPr>
        <w:pStyle w:val="Heading2"/>
      </w:pPr>
      <w:bookmarkStart w:id="6" w:name="_Toc189824303"/>
      <w:r w:rsidRPr="009637D7">
        <w:t>Enhanced Analytics Framework</w:t>
      </w:r>
      <w:bookmarkEnd w:id="6"/>
      <w:r w:rsidRPr="009637D7">
        <w:t xml:space="preserve"> </w:t>
      </w:r>
    </w:p>
    <w:p w14:paraId="7E77E6CE" w14:textId="197CA412" w:rsidR="009637D7" w:rsidRPr="009637D7" w:rsidRDefault="009637D7" w:rsidP="009637D7">
      <w:pPr>
        <w:spacing w:line="360" w:lineRule="auto"/>
        <w:jc w:val="both"/>
        <w:rPr>
          <w:sz w:val="24"/>
        </w:rPr>
      </w:pPr>
      <w:r w:rsidRPr="009637D7">
        <w:rPr>
          <w:sz w:val="24"/>
        </w:rPr>
        <w:t xml:space="preserve">To strengthen data-driven </w:t>
      </w:r>
      <w:r w:rsidR="007D5A25">
        <w:rPr>
          <w:sz w:val="24"/>
        </w:rPr>
        <w:t>decision-making</w:t>
      </w:r>
      <w:r w:rsidRPr="009637D7">
        <w:rPr>
          <w:sz w:val="24"/>
        </w:rPr>
        <w:t>, Olympic Sports Ltd. requires robust tracking of the following key performance indicators:</w:t>
      </w:r>
    </w:p>
    <w:p w14:paraId="58DE7BA6" w14:textId="7D39E867" w:rsidR="009637D7" w:rsidRPr="009637D7" w:rsidRDefault="00252E86" w:rsidP="009637D7">
      <w:pPr>
        <w:numPr>
          <w:ilvl w:val="0"/>
          <w:numId w:val="22"/>
        </w:numPr>
        <w:spacing w:line="360" w:lineRule="auto"/>
        <w:jc w:val="both"/>
        <w:rPr>
          <w:sz w:val="24"/>
        </w:rPr>
      </w:pPr>
      <w:r w:rsidRPr="00252E86">
        <w:rPr>
          <w:sz w:val="24"/>
        </w:rPr>
        <w:t>Sales growth rate by region, product, and channel: This will help in the determination of the performance of the business in line segments in order to identify centers of growth in the market</w:t>
      </w:r>
      <w:r w:rsidR="009637D7" w:rsidRPr="009637D7">
        <w:rPr>
          <w:sz w:val="24"/>
        </w:rPr>
        <w:t>.</w:t>
      </w:r>
    </w:p>
    <w:p w14:paraId="72DAE156" w14:textId="34CAE464" w:rsidR="00252E86" w:rsidRPr="00252E86" w:rsidRDefault="00252E86" w:rsidP="00252E86">
      <w:pPr>
        <w:numPr>
          <w:ilvl w:val="0"/>
          <w:numId w:val="22"/>
        </w:numPr>
        <w:spacing w:line="360" w:lineRule="auto"/>
        <w:jc w:val="both"/>
        <w:rPr>
          <w:b/>
          <w:bCs/>
          <w:sz w:val="24"/>
        </w:rPr>
      </w:pPr>
      <w:r w:rsidRPr="00252E86">
        <w:rPr>
          <w:b/>
          <w:bCs/>
          <w:sz w:val="24"/>
        </w:rPr>
        <w:t xml:space="preserve">Comparison to competitors: </w:t>
      </w:r>
      <w:r w:rsidRPr="00252E86">
        <w:rPr>
          <w:sz w:val="24"/>
        </w:rPr>
        <w:t>Offers the proper element of competition to retain and increase the market share in important segments.</w:t>
      </w:r>
    </w:p>
    <w:p w14:paraId="5203A34A" w14:textId="54CCF4E2" w:rsidR="00252E86" w:rsidRPr="00252E86" w:rsidRDefault="00252E86" w:rsidP="00252E86">
      <w:pPr>
        <w:numPr>
          <w:ilvl w:val="0"/>
          <w:numId w:val="22"/>
        </w:numPr>
        <w:spacing w:line="360" w:lineRule="auto"/>
        <w:jc w:val="both"/>
        <w:rPr>
          <w:b/>
          <w:bCs/>
          <w:sz w:val="24"/>
        </w:rPr>
      </w:pPr>
      <w:r w:rsidRPr="00252E86">
        <w:rPr>
          <w:b/>
          <w:bCs/>
          <w:sz w:val="24"/>
        </w:rPr>
        <w:t xml:space="preserve">Profitability by product line – It </w:t>
      </w:r>
      <w:r w:rsidRPr="00252E86">
        <w:rPr>
          <w:sz w:val="24"/>
        </w:rPr>
        <w:t>enables proper utilization of resources and effective direction of the investments made on product development by presenting a fine distinction between the various margins. (</w:t>
      </w:r>
      <w:r w:rsidR="00C67EF9" w:rsidRPr="00252E86">
        <w:rPr>
          <w:sz w:val="24"/>
        </w:rPr>
        <w:t>Koetters</w:t>
      </w:r>
      <w:r w:rsidRPr="00252E86">
        <w:rPr>
          <w:sz w:val="24"/>
        </w:rPr>
        <w:t>, Vonderembse, and Doll, 2002).</w:t>
      </w:r>
    </w:p>
    <w:p w14:paraId="0EA1181F" w14:textId="74057EAF" w:rsidR="009637D7" w:rsidRPr="009637D7" w:rsidRDefault="00252E86" w:rsidP="00252E86">
      <w:pPr>
        <w:numPr>
          <w:ilvl w:val="0"/>
          <w:numId w:val="22"/>
        </w:numPr>
        <w:spacing w:line="360" w:lineRule="auto"/>
        <w:jc w:val="both"/>
        <w:rPr>
          <w:sz w:val="24"/>
        </w:rPr>
      </w:pPr>
      <w:r w:rsidRPr="00252E86">
        <w:rPr>
          <w:b/>
          <w:bCs/>
          <w:sz w:val="24"/>
        </w:rPr>
        <w:lastRenderedPageBreak/>
        <w:t xml:space="preserve">Customer acquisition, retention and customer lifetime value: </w:t>
      </w:r>
      <w:r w:rsidRPr="00252E86">
        <w:rPr>
          <w:sz w:val="24"/>
        </w:rPr>
        <w:t xml:space="preserve">This would help in assessing the strength of the relationship with the customers and would assist in proper marketing communications to the </w:t>
      </w:r>
      <w:r>
        <w:rPr>
          <w:sz w:val="24"/>
        </w:rPr>
        <w:t>customers</w:t>
      </w:r>
      <w:r w:rsidRPr="00252E86">
        <w:rPr>
          <w:sz w:val="24"/>
        </w:rPr>
        <w:t xml:space="preserve"> that are likely to see </w:t>
      </w:r>
      <w:r>
        <w:rPr>
          <w:sz w:val="24"/>
        </w:rPr>
        <w:t xml:space="preserve">the </w:t>
      </w:r>
      <w:r w:rsidRPr="00252E86">
        <w:rPr>
          <w:sz w:val="24"/>
        </w:rPr>
        <w:t xml:space="preserve">most </w:t>
      </w:r>
      <w:r>
        <w:rPr>
          <w:sz w:val="24"/>
        </w:rPr>
        <w:t>value</w:t>
      </w:r>
      <w:r w:rsidRPr="00252E86">
        <w:rPr>
          <w:sz w:val="24"/>
        </w:rPr>
        <w:t xml:space="preserve"> over a long-term period</w:t>
      </w:r>
      <w:r w:rsidR="009637D7" w:rsidRPr="009637D7">
        <w:rPr>
          <w:sz w:val="24"/>
        </w:rPr>
        <w:t>.</w:t>
      </w:r>
    </w:p>
    <w:p w14:paraId="55270738" w14:textId="63B8F4F5" w:rsidR="009637D7" w:rsidRPr="009637D7" w:rsidRDefault="009637D7" w:rsidP="009637D7">
      <w:pPr>
        <w:numPr>
          <w:ilvl w:val="0"/>
          <w:numId w:val="22"/>
        </w:numPr>
        <w:spacing w:line="360" w:lineRule="auto"/>
        <w:jc w:val="both"/>
        <w:rPr>
          <w:sz w:val="24"/>
        </w:rPr>
      </w:pPr>
      <w:r w:rsidRPr="009637D7">
        <w:rPr>
          <w:b/>
          <w:bCs/>
          <w:sz w:val="24"/>
        </w:rPr>
        <w:t>Marketing ROI and campaign effectiveness</w:t>
      </w:r>
      <w:r w:rsidRPr="009637D7">
        <w:rPr>
          <w:sz w:val="24"/>
        </w:rPr>
        <w:t xml:space="preserve">: </w:t>
      </w:r>
      <w:r w:rsidR="00252E86">
        <w:rPr>
          <w:sz w:val="24"/>
        </w:rPr>
        <w:t>Evaluate</w:t>
      </w:r>
      <w:r w:rsidRPr="009637D7">
        <w:rPr>
          <w:sz w:val="24"/>
        </w:rPr>
        <w:t xml:space="preserve"> promotional impact and </w:t>
      </w:r>
      <w:r w:rsidR="00252E86">
        <w:rPr>
          <w:sz w:val="24"/>
        </w:rPr>
        <w:t>spending</w:t>
      </w:r>
      <w:r w:rsidRPr="009637D7">
        <w:rPr>
          <w:sz w:val="24"/>
        </w:rPr>
        <w:t xml:space="preserve"> efficiency to optimize future marketing investments </w:t>
      </w:r>
      <w:r w:rsidR="002E139F" w:rsidRPr="002E139F">
        <w:rPr>
          <w:sz w:val="24"/>
        </w:rPr>
        <w:t>(Farris et al., 2015)</w:t>
      </w:r>
      <w:r w:rsidRPr="009637D7">
        <w:rPr>
          <w:sz w:val="24"/>
        </w:rPr>
        <w:t>.</w:t>
      </w:r>
    </w:p>
    <w:p w14:paraId="554CE4C1" w14:textId="77777777" w:rsidR="009637D7" w:rsidRPr="009637D7" w:rsidRDefault="009637D7" w:rsidP="009637D7">
      <w:pPr>
        <w:numPr>
          <w:ilvl w:val="0"/>
          <w:numId w:val="22"/>
        </w:numPr>
        <w:spacing w:line="360" w:lineRule="auto"/>
        <w:jc w:val="both"/>
        <w:rPr>
          <w:sz w:val="24"/>
        </w:rPr>
      </w:pPr>
      <w:r w:rsidRPr="009637D7">
        <w:rPr>
          <w:b/>
          <w:bCs/>
          <w:sz w:val="24"/>
        </w:rPr>
        <w:t>Inventory turnover and stock-outs</w:t>
      </w:r>
      <w:r w:rsidRPr="009637D7">
        <w:rPr>
          <w:sz w:val="24"/>
        </w:rPr>
        <w:t>: Tracks supply chain efficiency to prevent revenue loss from stockouts while maintaining optimal inventory levels.</w:t>
      </w:r>
    </w:p>
    <w:p w14:paraId="1EF64FD0" w14:textId="7BDEA636" w:rsidR="009121A3" w:rsidRPr="006E165B" w:rsidRDefault="009121A3" w:rsidP="006E165B">
      <w:pPr>
        <w:pStyle w:val="Heading1"/>
        <w:rPr>
          <w:rFonts w:cstheme="minorHAnsi"/>
          <w:b w:val="0"/>
        </w:rPr>
      </w:pPr>
      <w:bookmarkStart w:id="7" w:name="_Toc189824304"/>
      <w:r w:rsidRPr="006E165B">
        <w:rPr>
          <w:rFonts w:cstheme="minorHAnsi"/>
        </w:rPr>
        <w:t xml:space="preserve">Task 2: Data </w:t>
      </w:r>
      <w:r w:rsidR="00AA0BB1">
        <w:rPr>
          <w:rFonts w:cstheme="minorHAnsi"/>
        </w:rPr>
        <w:t xml:space="preserve">preparation </w:t>
      </w:r>
      <w:r w:rsidRPr="006E165B">
        <w:rPr>
          <w:rFonts w:cstheme="minorHAnsi"/>
        </w:rPr>
        <w:t xml:space="preserve">quality issues </w:t>
      </w:r>
      <w:r w:rsidR="009637D7">
        <w:rPr>
          <w:rFonts w:cstheme="minorHAnsi"/>
          <w:b w:val="0"/>
        </w:rPr>
        <w:t>&amp;</w:t>
      </w:r>
      <w:r w:rsidRPr="006E165B">
        <w:rPr>
          <w:rFonts w:cstheme="minorHAnsi"/>
        </w:rPr>
        <w:t xml:space="preserve"> remedies</w:t>
      </w:r>
      <w:bookmarkEnd w:id="7"/>
    </w:p>
    <w:p w14:paraId="16A60B2A" w14:textId="2C80764B" w:rsidR="00325D0E" w:rsidRPr="00325D0E" w:rsidRDefault="00252E86" w:rsidP="00325D0E">
      <w:pPr>
        <w:spacing w:line="360" w:lineRule="auto"/>
        <w:jc w:val="both"/>
        <w:rPr>
          <w:sz w:val="24"/>
        </w:rPr>
      </w:pPr>
      <w:r w:rsidRPr="00252E86">
        <w:rPr>
          <w:sz w:val="24"/>
        </w:rPr>
        <w:t>Data quality is at the core of analytics and it implies that data determines the kind of results and decisions made within business environments. Due to failure to achieve quality data, it ends in quality data analysis hence affecting the overall decision-making aspect and business results (Prasad, 2024). This section discusses about the various data quality issues found in the context of Olympic Sports dataset and its possible solutions.</w:t>
      </w:r>
    </w:p>
    <w:p w14:paraId="7B070C0B" w14:textId="77777777" w:rsidR="00325D0E" w:rsidRPr="00325D0E" w:rsidRDefault="00325D0E" w:rsidP="007D5A25">
      <w:pPr>
        <w:pStyle w:val="Heading2"/>
      </w:pPr>
      <w:bookmarkStart w:id="8" w:name="_Toc189824305"/>
      <w:r w:rsidRPr="00325D0E">
        <w:t>Data Quality Challenges Overview</w:t>
      </w:r>
      <w:bookmarkEnd w:id="8"/>
    </w:p>
    <w:p w14:paraId="5865EE44" w14:textId="436E469D" w:rsidR="00325D0E" w:rsidRPr="00325D0E" w:rsidRDefault="00252E86" w:rsidP="00325D0E">
      <w:pPr>
        <w:spacing w:line="360" w:lineRule="auto"/>
        <w:jc w:val="both"/>
        <w:rPr>
          <w:sz w:val="24"/>
        </w:rPr>
      </w:pPr>
      <w:r w:rsidRPr="00252E86">
        <w:rPr>
          <w:sz w:val="24"/>
        </w:rPr>
        <w:t>Industry research demonstrates that the typical data quality issues include format inconsistencies together with duplicate entries and data gaps and anomalous values and field inconsistencies. System constraints and several entry points together with procedural breakdowns cause most data quality problems (</w:t>
      </w:r>
      <w:r w:rsidR="00010C4C" w:rsidRPr="00252E86">
        <w:rPr>
          <w:sz w:val="24"/>
        </w:rPr>
        <w:t>Tah</w:t>
      </w:r>
      <w:r w:rsidRPr="00252E86">
        <w:rPr>
          <w:sz w:val="24"/>
        </w:rPr>
        <w:t>, Kempa-Liehr and Wang, 2020)</w:t>
      </w:r>
      <w:r w:rsidR="00325D0E" w:rsidRPr="00325D0E">
        <w:rPr>
          <w:sz w:val="24"/>
        </w:rPr>
        <w:t>.</w:t>
      </w:r>
    </w:p>
    <w:p w14:paraId="597292AC" w14:textId="77777777" w:rsidR="00325D0E" w:rsidRPr="00325D0E" w:rsidRDefault="00325D0E" w:rsidP="00325D0E">
      <w:pPr>
        <w:spacing w:line="360" w:lineRule="auto"/>
        <w:jc w:val="both"/>
        <w:rPr>
          <w:sz w:val="24"/>
        </w:rPr>
      </w:pPr>
      <w:r w:rsidRPr="00325D0E">
        <w:rPr>
          <w:sz w:val="24"/>
        </w:rPr>
        <w:t>Analysis of Olympic Sports Dataset Issues:</w:t>
      </w:r>
    </w:p>
    <w:p w14:paraId="328D72F0" w14:textId="1F47DD23" w:rsidR="00252E86" w:rsidRPr="00252E86" w:rsidRDefault="00252E86" w:rsidP="00252E86">
      <w:pPr>
        <w:numPr>
          <w:ilvl w:val="0"/>
          <w:numId w:val="23"/>
        </w:numPr>
        <w:spacing w:line="360" w:lineRule="auto"/>
        <w:jc w:val="both"/>
        <w:rPr>
          <w:sz w:val="24"/>
        </w:rPr>
      </w:pPr>
      <w:r w:rsidRPr="00252E86">
        <w:rPr>
          <w:sz w:val="24"/>
        </w:rPr>
        <w:t>Regional and product fields within the dataset display inconsistent text formatting which prevents accurate comparison across sources. An example of this inconsistency is the entry 'foot</w:t>
      </w:r>
      <w:r w:rsidR="00010C4C">
        <w:rPr>
          <w:sz w:val="24"/>
        </w:rPr>
        <w:t xml:space="preserve">s </w:t>
      </w:r>
      <w:r w:rsidRPr="00252E86">
        <w:rPr>
          <w:sz w:val="24"/>
        </w:rPr>
        <w:t>&amp;</w:t>
      </w:r>
      <w:r w:rsidR="00010C4C">
        <w:rPr>
          <w:sz w:val="24"/>
        </w:rPr>
        <w:t>w</w:t>
      </w:r>
      <w:r w:rsidRPr="00252E86">
        <w:rPr>
          <w:sz w:val="24"/>
        </w:rPr>
        <w:t>ear'.</w:t>
      </w:r>
    </w:p>
    <w:p w14:paraId="777F40DE" w14:textId="3999D035" w:rsidR="00252E86" w:rsidRPr="00252E86" w:rsidRDefault="00252E86" w:rsidP="00252E86">
      <w:pPr>
        <w:numPr>
          <w:ilvl w:val="0"/>
          <w:numId w:val="23"/>
        </w:numPr>
        <w:spacing w:line="360" w:lineRule="auto"/>
        <w:jc w:val="both"/>
        <w:rPr>
          <w:sz w:val="24"/>
        </w:rPr>
      </w:pPr>
      <w:r w:rsidRPr="00252E86">
        <w:rPr>
          <w:sz w:val="24"/>
        </w:rPr>
        <w:t>The data includes negative sales values that probably stem from returns and accounting manipulations so proper procedures need to be established for data maintenance integrity.</w:t>
      </w:r>
    </w:p>
    <w:p w14:paraId="1E8B2763" w14:textId="62692130" w:rsidR="00325D0E" w:rsidRPr="00325D0E" w:rsidRDefault="00252E86" w:rsidP="00252E86">
      <w:pPr>
        <w:numPr>
          <w:ilvl w:val="0"/>
          <w:numId w:val="23"/>
        </w:numPr>
        <w:spacing w:line="360" w:lineRule="auto"/>
        <w:jc w:val="both"/>
        <w:rPr>
          <w:sz w:val="24"/>
        </w:rPr>
      </w:pPr>
      <w:r w:rsidRPr="00252E86">
        <w:rPr>
          <w:sz w:val="24"/>
        </w:rPr>
        <w:lastRenderedPageBreak/>
        <w:t>Critical chronological errors which include the presence of 2042 entries in 2020 tables will affect accurate trend analysis and cause damage to forecasting precision</w:t>
      </w:r>
      <w:r w:rsidR="00325D0E" w:rsidRPr="00325D0E">
        <w:rPr>
          <w:sz w:val="24"/>
        </w:rPr>
        <w:t>.</w:t>
      </w:r>
    </w:p>
    <w:p w14:paraId="7B8B33A0" w14:textId="0FE60C20" w:rsidR="00252E86" w:rsidRPr="00252E86" w:rsidRDefault="00252E86" w:rsidP="00252E86">
      <w:pPr>
        <w:numPr>
          <w:ilvl w:val="0"/>
          <w:numId w:val="23"/>
        </w:numPr>
        <w:spacing w:line="360" w:lineRule="auto"/>
        <w:jc w:val="both"/>
        <w:rPr>
          <w:sz w:val="24"/>
        </w:rPr>
      </w:pPr>
      <w:r w:rsidRPr="00252E86">
        <w:rPr>
          <w:sz w:val="24"/>
        </w:rPr>
        <w:t>Product names that contain miscellaneous special characters ('trousers$£%&amp;') result in data parsing problems leading to processing errors.</w:t>
      </w:r>
    </w:p>
    <w:p w14:paraId="6FCE2667" w14:textId="3EF4F7A7" w:rsidR="006E165B" w:rsidRPr="00325D0E" w:rsidRDefault="00252E86" w:rsidP="00252E86">
      <w:pPr>
        <w:numPr>
          <w:ilvl w:val="0"/>
          <w:numId w:val="23"/>
        </w:numPr>
        <w:spacing w:line="360" w:lineRule="auto"/>
        <w:jc w:val="both"/>
        <w:rPr>
          <w:sz w:val="24"/>
        </w:rPr>
      </w:pPr>
      <w:r w:rsidRPr="00252E86">
        <w:rPr>
          <w:sz w:val="24"/>
        </w:rPr>
        <w:t>Zero values in the dataset should be correctly differentiated to determine between actual zero sales records and missing data points because this distinction is essential for proper statistical analysis</w:t>
      </w:r>
      <w:r w:rsidR="00325D0E" w:rsidRPr="00325D0E">
        <w:rPr>
          <w:sz w:val="24"/>
        </w:rPr>
        <w:t>.</w:t>
      </w:r>
    </w:p>
    <w:p w14:paraId="52A436BA" w14:textId="6CEA0E75" w:rsidR="006E165B" w:rsidRPr="007D5A25" w:rsidRDefault="006E165B" w:rsidP="007D5A25">
      <w:pPr>
        <w:pStyle w:val="Heading2"/>
      </w:pPr>
      <w:bookmarkStart w:id="9" w:name="_Toc189824306"/>
      <w:r w:rsidRPr="007D5A25">
        <w:t>Remedies</w:t>
      </w:r>
      <w:r w:rsidR="00325D0E" w:rsidRPr="007D5A25">
        <w:t xml:space="preserve"> for Data Quality Issues</w:t>
      </w:r>
      <w:bookmarkEnd w:id="9"/>
      <w:r w:rsidR="00325D0E" w:rsidRPr="007D5A25">
        <w:t xml:space="preserve"> </w:t>
      </w:r>
    </w:p>
    <w:p w14:paraId="4BF74EE5" w14:textId="77777777" w:rsidR="00325D0E" w:rsidRPr="00325D0E" w:rsidRDefault="00325D0E" w:rsidP="00325D0E">
      <w:pPr>
        <w:spacing w:line="360" w:lineRule="auto"/>
        <w:jc w:val="both"/>
        <w:rPr>
          <w:sz w:val="24"/>
        </w:rPr>
      </w:pPr>
      <w:r w:rsidRPr="00325D0E">
        <w:rPr>
          <w:sz w:val="24"/>
        </w:rPr>
        <w:t>Proposed data cleansing protocols to address identified quality issues:</w:t>
      </w:r>
    </w:p>
    <w:p w14:paraId="699A8573" w14:textId="77777777" w:rsidR="00325D0E" w:rsidRPr="00325D0E" w:rsidRDefault="00325D0E" w:rsidP="00325D0E">
      <w:pPr>
        <w:numPr>
          <w:ilvl w:val="0"/>
          <w:numId w:val="24"/>
        </w:numPr>
        <w:spacing w:line="360" w:lineRule="auto"/>
        <w:jc w:val="both"/>
        <w:rPr>
          <w:sz w:val="24"/>
        </w:rPr>
      </w:pPr>
      <w:r w:rsidRPr="00325D0E">
        <w:rPr>
          <w:b/>
          <w:bCs/>
          <w:sz w:val="24"/>
        </w:rPr>
        <w:t>Text standardization:</w:t>
      </w:r>
      <w:r w:rsidRPr="00325D0E">
        <w:rPr>
          <w:sz w:val="24"/>
        </w:rPr>
        <w:t xml:space="preserve"> Implement uniform capitalization rules and eliminate special characters to ensure consistent data processing across all fields.</w:t>
      </w:r>
    </w:p>
    <w:p w14:paraId="67FE79F2" w14:textId="77777777" w:rsidR="00325D0E" w:rsidRPr="00325D0E" w:rsidRDefault="00325D0E" w:rsidP="00325D0E">
      <w:pPr>
        <w:numPr>
          <w:ilvl w:val="0"/>
          <w:numId w:val="24"/>
        </w:numPr>
        <w:spacing w:line="360" w:lineRule="auto"/>
        <w:jc w:val="both"/>
        <w:rPr>
          <w:sz w:val="24"/>
        </w:rPr>
      </w:pPr>
      <w:r w:rsidRPr="00325D0E">
        <w:rPr>
          <w:b/>
          <w:bCs/>
          <w:sz w:val="24"/>
        </w:rPr>
        <w:t>Timeline validation</w:t>
      </w:r>
      <w:r w:rsidRPr="00325D0E">
        <w:rPr>
          <w:sz w:val="24"/>
        </w:rPr>
        <w:t>: Remove all data entries outside the designated 2020-2022 analysis period to maintain temporal accuracy.</w:t>
      </w:r>
    </w:p>
    <w:p w14:paraId="28992BB5" w14:textId="77777777" w:rsidR="00325D0E" w:rsidRPr="00325D0E" w:rsidRDefault="00325D0E" w:rsidP="00325D0E">
      <w:pPr>
        <w:numPr>
          <w:ilvl w:val="0"/>
          <w:numId w:val="24"/>
        </w:numPr>
        <w:spacing w:line="360" w:lineRule="auto"/>
        <w:jc w:val="both"/>
        <w:rPr>
          <w:sz w:val="24"/>
        </w:rPr>
      </w:pPr>
      <w:r w:rsidRPr="00325D0E">
        <w:rPr>
          <w:b/>
          <w:bCs/>
          <w:sz w:val="24"/>
        </w:rPr>
        <w:t>Value normalization</w:t>
      </w:r>
      <w:r w:rsidRPr="00325D0E">
        <w:rPr>
          <w:sz w:val="24"/>
        </w:rPr>
        <w:t>: Standardize treatment of negative values through absolute value conversion while maintaining data relationship integrity.</w:t>
      </w:r>
    </w:p>
    <w:p w14:paraId="172E7CB9" w14:textId="086FDA74" w:rsidR="00325D0E" w:rsidRPr="00325D0E" w:rsidRDefault="00325D0E" w:rsidP="00325D0E">
      <w:pPr>
        <w:numPr>
          <w:ilvl w:val="0"/>
          <w:numId w:val="24"/>
        </w:numPr>
        <w:spacing w:line="360" w:lineRule="auto"/>
        <w:jc w:val="both"/>
        <w:rPr>
          <w:sz w:val="24"/>
        </w:rPr>
      </w:pPr>
      <w:r w:rsidRPr="00325D0E">
        <w:rPr>
          <w:b/>
          <w:bCs/>
          <w:sz w:val="24"/>
        </w:rPr>
        <w:t>Format harmonization</w:t>
      </w:r>
      <w:r w:rsidRPr="00325D0E">
        <w:rPr>
          <w:sz w:val="24"/>
        </w:rPr>
        <w:t>: Establish consistent field delimiting and eliminate irregular spacing to ensure accurate data parsing.</w:t>
      </w:r>
    </w:p>
    <w:p w14:paraId="6D7380FF" w14:textId="77777777" w:rsidR="00325D0E" w:rsidRPr="00325D0E" w:rsidRDefault="00325D0E" w:rsidP="00325D0E">
      <w:pPr>
        <w:numPr>
          <w:ilvl w:val="0"/>
          <w:numId w:val="24"/>
        </w:numPr>
        <w:spacing w:line="360" w:lineRule="auto"/>
        <w:jc w:val="both"/>
        <w:rPr>
          <w:sz w:val="24"/>
        </w:rPr>
      </w:pPr>
      <w:r w:rsidRPr="00325D0E">
        <w:rPr>
          <w:b/>
          <w:bCs/>
          <w:sz w:val="24"/>
        </w:rPr>
        <w:t>Zero-value protocol</w:t>
      </w:r>
      <w:r w:rsidRPr="00325D0E">
        <w:rPr>
          <w:sz w:val="24"/>
        </w:rPr>
        <w:t>: Implement systematic differentiation between true zero values and missing data points using statistical methods and mean value imputation where appropriate.</w:t>
      </w:r>
    </w:p>
    <w:p w14:paraId="0D7E3E36" w14:textId="77777777" w:rsidR="00252E86" w:rsidRDefault="00252E86" w:rsidP="00325D0E">
      <w:pPr>
        <w:spacing w:line="360" w:lineRule="auto"/>
        <w:jc w:val="both"/>
        <w:rPr>
          <w:sz w:val="24"/>
        </w:rPr>
      </w:pPr>
      <w:r w:rsidRPr="00252E86">
        <w:rPr>
          <w:sz w:val="24"/>
        </w:rPr>
        <w:t>The implemented data cleansing strategies create more dependable datasets alongside improved analytical precision (Liu et al., 2021). Extended monitoring is necessary because additional anomalies might surface for which extra cleansing iterations might be needed. A stepped implementation method should be utilized for these measures together with regular checks to maintain data consistency and analytic validity from start to finish</w:t>
      </w:r>
    </w:p>
    <w:p w14:paraId="0328B4E5" w14:textId="1D4F7D15" w:rsidR="00325D0E" w:rsidRPr="00325D0E" w:rsidRDefault="00325D0E" w:rsidP="00325D0E">
      <w:pPr>
        <w:spacing w:line="360" w:lineRule="auto"/>
        <w:jc w:val="both"/>
        <w:rPr>
          <w:sz w:val="24"/>
        </w:rPr>
      </w:pPr>
      <w:r w:rsidRPr="00325D0E">
        <w:rPr>
          <w:sz w:val="24"/>
        </w:rPr>
        <w:t>.</w:t>
      </w:r>
    </w:p>
    <w:p w14:paraId="1794771C" w14:textId="2107A5D1" w:rsidR="006E165B" w:rsidRDefault="00252E86" w:rsidP="006E165B">
      <w:pPr>
        <w:spacing w:line="360" w:lineRule="auto"/>
        <w:jc w:val="both"/>
        <w:rPr>
          <w:sz w:val="24"/>
        </w:rPr>
      </w:pPr>
      <w:r w:rsidRPr="00252E86">
        <w:rPr>
          <w:sz w:val="24"/>
        </w:rPr>
        <w:lastRenderedPageBreak/>
        <w:t>Implementation success for these remediation steps relies on systematic application methods and regular business logic and historical pattern validation processes (Six, Herbaut and Salinesi, 2022).</w:t>
      </w:r>
    </w:p>
    <w:p w14:paraId="35AA2B23" w14:textId="4B350F46" w:rsidR="006E165B" w:rsidRPr="00731D1B" w:rsidRDefault="006E165B" w:rsidP="00731D1B">
      <w:pPr>
        <w:pStyle w:val="Heading1"/>
        <w:rPr>
          <w:rFonts w:cstheme="minorHAnsi"/>
          <w:b w:val="0"/>
        </w:rPr>
      </w:pPr>
      <w:bookmarkStart w:id="10" w:name="_Toc189824307"/>
      <w:r w:rsidRPr="00731D1B">
        <w:rPr>
          <w:rFonts w:cstheme="minorHAnsi"/>
        </w:rPr>
        <w:t xml:space="preserve">Task 3: Data analysis </w:t>
      </w:r>
      <w:r w:rsidR="00325D0E">
        <w:rPr>
          <w:rFonts w:cstheme="minorHAnsi"/>
          <w:b w:val="0"/>
        </w:rPr>
        <w:t xml:space="preserve">&amp; </w:t>
      </w:r>
      <w:r w:rsidRPr="00731D1B">
        <w:rPr>
          <w:rFonts w:cstheme="minorHAnsi"/>
        </w:rPr>
        <w:t>commentary</w:t>
      </w:r>
      <w:bookmarkEnd w:id="10"/>
    </w:p>
    <w:p w14:paraId="5C45BFDF" w14:textId="2B618696" w:rsidR="006E165B" w:rsidRDefault="004D398F" w:rsidP="006E165B">
      <w:pPr>
        <w:spacing w:line="360" w:lineRule="auto"/>
        <w:jc w:val="both"/>
        <w:rPr>
          <w:sz w:val="24"/>
        </w:rPr>
      </w:pPr>
      <w:r w:rsidRPr="004D398F">
        <w:rPr>
          <w:sz w:val="24"/>
        </w:rPr>
        <w:t>In this analysis the performance of Olympic Sports Ltd. has been compared on three factors: Product category performance indicators, Cyclical sales pattern and Comparison with other regions. Consequently, we engage in analyzing the operational performance with innovation that takes a close look at activities transpiring in the UK and he French territories through refined sales data</w:t>
      </w:r>
      <w:r w:rsidR="006E165B" w:rsidRPr="006E165B">
        <w:rPr>
          <w:sz w:val="24"/>
        </w:rPr>
        <w:t>.</w:t>
      </w:r>
    </w:p>
    <w:p w14:paraId="7ADEA5E6" w14:textId="6E22BF03" w:rsidR="006E165B" w:rsidRPr="00731D1B" w:rsidRDefault="00623847" w:rsidP="00731D1B">
      <w:pPr>
        <w:pStyle w:val="Heading2"/>
        <w:rPr>
          <w:rFonts w:cstheme="minorHAnsi"/>
          <w:b w:val="0"/>
        </w:rPr>
      </w:pPr>
      <w:bookmarkStart w:id="11" w:name="_Toc189824308"/>
      <w:r w:rsidRPr="00731D1B">
        <w:rPr>
          <w:rFonts w:cstheme="minorHAnsi"/>
        </w:rPr>
        <w:t xml:space="preserve">Table A: Sales Volume </w:t>
      </w:r>
      <w:r w:rsidR="006F6D6E">
        <w:rPr>
          <w:rFonts w:cstheme="minorHAnsi"/>
          <w:b w:val="0"/>
        </w:rPr>
        <w:t>&amp;</w:t>
      </w:r>
      <w:r w:rsidRPr="00731D1B">
        <w:rPr>
          <w:rFonts w:cstheme="minorHAnsi"/>
        </w:rPr>
        <w:t xml:space="preserve"> Value by Year</w:t>
      </w:r>
      <w:bookmarkEnd w:id="11"/>
    </w:p>
    <w:tbl>
      <w:tblPr>
        <w:tblStyle w:val="TableGrid"/>
        <w:tblW w:w="0" w:type="auto"/>
        <w:tblLook w:val="04A0" w:firstRow="1" w:lastRow="0" w:firstColumn="1" w:lastColumn="0" w:noHBand="0" w:noVBand="1"/>
      </w:tblPr>
      <w:tblGrid>
        <w:gridCol w:w="2405"/>
        <w:gridCol w:w="3586"/>
        <w:gridCol w:w="3207"/>
      </w:tblGrid>
      <w:tr w:rsidR="006F6D6E" w:rsidRPr="006F6D6E" w14:paraId="7E671EF7" w14:textId="77777777" w:rsidTr="0023375A">
        <w:trPr>
          <w:trHeight w:val="297"/>
        </w:trPr>
        <w:tc>
          <w:tcPr>
            <w:tcW w:w="2405" w:type="dxa"/>
            <w:shd w:val="clear" w:color="auto" w:fill="C00000"/>
            <w:noWrap/>
            <w:hideMark/>
          </w:tcPr>
          <w:p w14:paraId="4A26EA2F" w14:textId="77777777" w:rsidR="006F6D6E" w:rsidRPr="0023375A" w:rsidRDefault="006F6D6E" w:rsidP="0023375A">
            <w:pPr>
              <w:spacing w:line="360" w:lineRule="auto"/>
              <w:jc w:val="center"/>
              <w:rPr>
                <w:b/>
                <w:bCs/>
                <w:sz w:val="24"/>
              </w:rPr>
            </w:pPr>
            <w:r w:rsidRPr="0023375A">
              <w:rPr>
                <w:b/>
                <w:bCs/>
                <w:sz w:val="24"/>
              </w:rPr>
              <w:t>Years</w:t>
            </w:r>
          </w:p>
        </w:tc>
        <w:tc>
          <w:tcPr>
            <w:tcW w:w="3586" w:type="dxa"/>
            <w:shd w:val="clear" w:color="auto" w:fill="C00000"/>
            <w:noWrap/>
            <w:hideMark/>
          </w:tcPr>
          <w:p w14:paraId="51F2DA53" w14:textId="77777777" w:rsidR="006F6D6E" w:rsidRPr="0023375A" w:rsidRDefault="006F6D6E" w:rsidP="0023375A">
            <w:pPr>
              <w:spacing w:line="360" w:lineRule="auto"/>
              <w:jc w:val="center"/>
              <w:rPr>
                <w:b/>
                <w:bCs/>
                <w:sz w:val="24"/>
              </w:rPr>
            </w:pPr>
            <w:r w:rsidRPr="0023375A">
              <w:rPr>
                <w:b/>
                <w:bCs/>
                <w:sz w:val="24"/>
              </w:rPr>
              <w:t>Sales Value</w:t>
            </w:r>
          </w:p>
        </w:tc>
        <w:tc>
          <w:tcPr>
            <w:tcW w:w="3207" w:type="dxa"/>
            <w:shd w:val="clear" w:color="auto" w:fill="C00000"/>
            <w:noWrap/>
            <w:hideMark/>
          </w:tcPr>
          <w:p w14:paraId="6CAE8667" w14:textId="77777777" w:rsidR="006F6D6E" w:rsidRPr="0023375A" w:rsidRDefault="006F6D6E" w:rsidP="0023375A">
            <w:pPr>
              <w:spacing w:line="360" w:lineRule="auto"/>
              <w:jc w:val="center"/>
              <w:rPr>
                <w:b/>
                <w:bCs/>
                <w:sz w:val="24"/>
              </w:rPr>
            </w:pPr>
            <w:r w:rsidRPr="0023375A">
              <w:rPr>
                <w:b/>
                <w:bCs/>
                <w:sz w:val="24"/>
              </w:rPr>
              <w:t>Sales Volume</w:t>
            </w:r>
          </w:p>
        </w:tc>
      </w:tr>
      <w:tr w:rsidR="006F6D6E" w:rsidRPr="006F6D6E" w14:paraId="23B0553E" w14:textId="77777777" w:rsidTr="006F6D6E">
        <w:trPr>
          <w:trHeight w:val="297"/>
        </w:trPr>
        <w:tc>
          <w:tcPr>
            <w:tcW w:w="2405" w:type="dxa"/>
            <w:noWrap/>
            <w:hideMark/>
          </w:tcPr>
          <w:p w14:paraId="551BEC2E" w14:textId="77777777" w:rsidR="006F6D6E" w:rsidRPr="0023375A" w:rsidRDefault="006F6D6E" w:rsidP="0023375A">
            <w:pPr>
              <w:spacing w:line="360" w:lineRule="auto"/>
              <w:jc w:val="center"/>
              <w:rPr>
                <w:b/>
                <w:bCs/>
                <w:sz w:val="24"/>
              </w:rPr>
            </w:pPr>
            <w:r w:rsidRPr="0023375A">
              <w:rPr>
                <w:b/>
                <w:bCs/>
                <w:sz w:val="24"/>
              </w:rPr>
              <w:t>2020</w:t>
            </w:r>
          </w:p>
        </w:tc>
        <w:tc>
          <w:tcPr>
            <w:tcW w:w="3586" w:type="dxa"/>
            <w:noWrap/>
            <w:hideMark/>
          </w:tcPr>
          <w:p w14:paraId="2B4083B1" w14:textId="77777777" w:rsidR="006F6D6E" w:rsidRPr="0023375A" w:rsidRDefault="006F6D6E" w:rsidP="0023375A">
            <w:pPr>
              <w:spacing w:line="360" w:lineRule="auto"/>
              <w:jc w:val="center"/>
              <w:rPr>
                <w:b/>
                <w:bCs/>
                <w:sz w:val="24"/>
              </w:rPr>
            </w:pPr>
            <w:r w:rsidRPr="0023375A">
              <w:rPr>
                <w:b/>
                <w:bCs/>
                <w:sz w:val="24"/>
              </w:rPr>
              <w:t>£9,164,235</w:t>
            </w:r>
          </w:p>
        </w:tc>
        <w:tc>
          <w:tcPr>
            <w:tcW w:w="3207" w:type="dxa"/>
            <w:noWrap/>
            <w:hideMark/>
          </w:tcPr>
          <w:p w14:paraId="6508F51D" w14:textId="77777777" w:rsidR="006F6D6E" w:rsidRPr="0023375A" w:rsidRDefault="006F6D6E" w:rsidP="0023375A">
            <w:pPr>
              <w:spacing w:line="360" w:lineRule="auto"/>
              <w:jc w:val="center"/>
              <w:rPr>
                <w:b/>
                <w:bCs/>
                <w:sz w:val="24"/>
              </w:rPr>
            </w:pPr>
            <w:r w:rsidRPr="0023375A">
              <w:rPr>
                <w:b/>
                <w:bCs/>
                <w:sz w:val="24"/>
              </w:rPr>
              <w:t>185805</w:t>
            </w:r>
          </w:p>
        </w:tc>
      </w:tr>
      <w:tr w:rsidR="006F6D6E" w:rsidRPr="006F6D6E" w14:paraId="77D622DB" w14:textId="77777777" w:rsidTr="006F6D6E">
        <w:trPr>
          <w:trHeight w:val="297"/>
        </w:trPr>
        <w:tc>
          <w:tcPr>
            <w:tcW w:w="2405" w:type="dxa"/>
            <w:noWrap/>
            <w:hideMark/>
          </w:tcPr>
          <w:p w14:paraId="3EC30118" w14:textId="77777777" w:rsidR="006F6D6E" w:rsidRPr="0023375A" w:rsidRDefault="006F6D6E" w:rsidP="0023375A">
            <w:pPr>
              <w:spacing w:line="360" w:lineRule="auto"/>
              <w:jc w:val="center"/>
              <w:rPr>
                <w:b/>
                <w:bCs/>
                <w:sz w:val="24"/>
              </w:rPr>
            </w:pPr>
            <w:r w:rsidRPr="0023375A">
              <w:rPr>
                <w:b/>
                <w:bCs/>
                <w:sz w:val="24"/>
              </w:rPr>
              <w:t>2021</w:t>
            </w:r>
          </w:p>
        </w:tc>
        <w:tc>
          <w:tcPr>
            <w:tcW w:w="3586" w:type="dxa"/>
            <w:noWrap/>
            <w:hideMark/>
          </w:tcPr>
          <w:p w14:paraId="5A0DB9D4" w14:textId="77777777" w:rsidR="006F6D6E" w:rsidRPr="0023375A" w:rsidRDefault="006F6D6E" w:rsidP="0023375A">
            <w:pPr>
              <w:spacing w:line="360" w:lineRule="auto"/>
              <w:jc w:val="center"/>
              <w:rPr>
                <w:b/>
                <w:bCs/>
                <w:sz w:val="24"/>
              </w:rPr>
            </w:pPr>
            <w:r w:rsidRPr="0023375A">
              <w:rPr>
                <w:b/>
                <w:bCs/>
                <w:sz w:val="24"/>
              </w:rPr>
              <w:t>£9,429,978</w:t>
            </w:r>
          </w:p>
        </w:tc>
        <w:tc>
          <w:tcPr>
            <w:tcW w:w="3207" w:type="dxa"/>
            <w:noWrap/>
            <w:hideMark/>
          </w:tcPr>
          <w:p w14:paraId="5B9ED820" w14:textId="77777777" w:rsidR="006F6D6E" w:rsidRPr="0023375A" w:rsidRDefault="006F6D6E" w:rsidP="0023375A">
            <w:pPr>
              <w:spacing w:line="360" w:lineRule="auto"/>
              <w:jc w:val="center"/>
              <w:rPr>
                <w:b/>
                <w:bCs/>
                <w:sz w:val="24"/>
              </w:rPr>
            </w:pPr>
            <w:r w:rsidRPr="0023375A">
              <w:rPr>
                <w:b/>
                <w:bCs/>
                <w:sz w:val="24"/>
              </w:rPr>
              <w:t>193919</w:t>
            </w:r>
          </w:p>
        </w:tc>
      </w:tr>
      <w:tr w:rsidR="006F6D6E" w:rsidRPr="006F6D6E" w14:paraId="68298411" w14:textId="77777777" w:rsidTr="006F6D6E">
        <w:trPr>
          <w:trHeight w:val="297"/>
        </w:trPr>
        <w:tc>
          <w:tcPr>
            <w:tcW w:w="2405" w:type="dxa"/>
            <w:noWrap/>
            <w:hideMark/>
          </w:tcPr>
          <w:p w14:paraId="6D042697" w14:textId="77777777" w:rsidR="006F6D6E" w:rsidRPr="0023375A" w:rsidRDefault="006F6D6E" w:rsidP="0023375A">
            <w:pPr>
              <w:spacing w:line="360" w:lineRule="auto"/>
              <w:jc w:val="center"/>
              <w:rPr>
                <w:b/>
                <w:bCs/>
                <w:sz w:val="24"/>
              </w:rPr>
            </w:pPr>
            <w:r w:rsidRPr="0023375A">
              <w:rPr>
                <w:b/>
                <w:bCs/>
                <w:sz w:val="24"/>
              </w:rPr>
              <w:t>2022</w:t>
            </w:r>
          </w:p>
        </w:tc>
        <w:tc>
          <w:tcPr>
            <w:tcW w:w="3586" w:type="dxa"/>
            <w:noWrap/>
            <w:hideMark/>
          </w:tcPr>
          <w:p w14:paraId="53495296" w14:textId="77777777" w:rsidR="006F6D6E" w:rsidRPr="0023375A" w:rsidRDefault="006F6D6E" w:rsidP="0023375A">
            <w:pPr>
              <w:spacing w:line="360" w:lineRule="auto"/>
              <w:jc w:val="center"/>
              <w:rPr>
                <w:b/>
                <w:bCs/>
                <w:sz w:val="24"/>
              </w:rPr>
            </w:pPr>
            <w:r w:rsidRPr="0023375A">
              <w:rPr>
                <w:b/>
                <w:bCs/>
                <w:sz w:val="24"/>
              </w:rPr>
              <w:t>£11,329,288</w:t>
            </w:r>
          </w:p>
        </w:tc>
        <w:tc>
          <w:tcPr>
            <w:tcW w:w="3207" w:type="dxa"/>
            <w:noWrap/>
            <w:hideMark/>
          </w:tcPr>
          <w:p w14:paraId="3EF21557" w14:textId="77777777" w:rsidR="006F6D6E" w:rsidRPr="0023375A" w:rsidRDefault="006F6D6E" w:rsidP="0023375A">
            <w:pPr>
              <w:spacing w:line="360" w:lineRule="auto"/>
              <w:jc w:val="center"/>
              <w:rPr>
                <w:b/>
                <w:bCs/>
                <w:sz w:val="24"/>
              </w:rPr>
            </w:pPr>
            <w:r w:rsidRPr="0023375A">
              <w:rPr>
                <w:b/>
                <w:bCs/>
                <w:sz w:val="24"/>
              </w:rPr>
              <w:t>218436</w:t>
            </w:r>
          </w:p>
        </w:tc>
      </w:tr>
    </w:tbl>
    <w:p w14:paraId="4A8F6B3B" w14:textId="13C046E8" w:rsidR="00731D1B" w:rsidRDefault="00731D1B" w:rsidP="006E165B">
      <w:pPr>
        <w:spacing w:line="360" w:lineRule="auto"/>
        <w:jc w:val="both"/>
        <w:rPr>
          <w:sz w:val="24"/>
        </w:rPr>
      </w:pPr>
    </w:p>
    <w:p w14:paraId="7B1187E1" w14:textId="77777777" w:rsidR="00731D1B" w:rsidRPr="00731D1B" w:rsidRDefault="00731D1B" w:rsidP="00731D1B">
      <w:pPr>
        <w:pStyle w:val="Heading3"/>
        <w:rPr>
          <w:rFonts w:cstheme="minorHAnsi"/>
          <w:b w:val="0"/>
        </w:rPr>
      </w:pPr>
      <w:bookmarkStart w:id="12" w:name="_Toc189824309"/>
      <w:r w:rsidRPr="00731D1B">
        <w:rPr>
          <w:rFonts w:cstheme="minorHAnsi"/>
        </w:rPr>
        <w:t>Key Findings</w:t>
      </w:r>
      <w:bookmarkEnd w:id="12"/>
    </w:p>
    <w:p w14:paraId="4F275676" w14:textId="77777777" w:rsidR="004D398F" w:rsidRPr="004D398F" w:rsidRDefault="004D398F" w:rsidP="004D398F">
      <w:pPr>
        <w:pStyle w:val="ListParagraph"/>
        <w:numPr>
          <w:ilvl w:val="0"/>
          <w:numId w:val="5"/>
        </w:numPr>
        <w:spacing w:line="360" w:lineRule="auto"/>
        <w:jc w:val="both"/>
        <w:rPr>
          <w:sz w:val="24"/>
        </w:rPr>
      </w:pPr>
      <w:r w:rsidRPr="004D398F">
        <w:rPr>
          <w:sz w:val="24"/>
        </w:rPr>
        <w:t>The growth trend for sales value and volume has been steady since 2021 until 2022 delivered its most substantial annual gains increasing value by 20.1% and volume by 12.6%.</w:t>
      </w:r>
    </w:p>
    <w:p w14:paraId="332CCF53" w14:textId="77777777" w:rsidR="004D398F" w:rsidRPr="004D398F" w:rsidRDefault="004D398F" w:rsidP="004D398F">
      <w:pPr>
        <w:pStyle w:val="ListParagraph"/>
        <w:numPr>
          <w:ilvl w:val="0"/>
          <w:numId w:val="5"/>
        </w:numPr>
        <w:spacing w:line="360" w:lineRule="auto"/>
        <w:jc w:val="both"/>
        <w:rPr>
          <w:sz w:val="24"/>
        </w:rPr>
      </w:pPr>
      <w:r w:rsidRPr="004D398F">
        <w:rPr>
          <w:sz w:val="24"/>
        </w:rPr>
        <w:t>The company achieved improved revenue per unit by increasing it from £49.32 in 2020 to £51.86 in 2022 which could be attributed to successful premium pricing or product mix changes.</w:t>
      </w:r>
    </w:p>
    <w:p w14:paraId="318E2E3B" w14:textId="7E32E5DC" w:rsidR="00731D1B" w:rsidRDefault="004D398F" w:rsidP="004D398F">
      <w:pPr>
        <w:pStyle w:val="ListParagraph"/>
        <w:numPr>
          <w:ilvl w:val="0"/>
          <w:numId w:val="5"/>
        </w:numPr>
        <w:spacing w:line="360" w:lineRule="auto"/>
        <w:jc w:val="both"/>
        <w:rPr>
          <w:sz w:val="24"/>
        </w:rPr>
      </w:pPr>
      <w:r w:rsidRPr="004D398F">
        <w:rPr>
          <w:sz w:val="24"/>
        </w:rPr>
        <w:t>The business achieved remarkable three-year expansion during this period showing a 23.6% (£2.17M) growth in selling value and a 17.6% increase (32,631 units) in total units sold from 2020 to 2022</w:t>
      </w:r>
      <w:r w:rsidR="00731D1B" w:rsidRPr="00731D1B">
        <w:rPr>
          <w:sz w:val="24"/>
        </w:rPr>
        <w:t>.</w:t>
      </w:r>
    </w:p>
    <w:p w14:paraId="36906600" w14:textId="77777777" w:rsidR="00623847" w:rsidRPr="00731D1B" w:rsidRDefault="00731D1B" w:rsidP="00731D1B">
      <w:pPr>
        <w:pStyle w:val="Heading2"/>
        <w:rPr>
          <w:rFonts w:cstheme="minorHAnsi"/>
          <w:b w:val="0"/>
        </w:rPr>
      </w:pPr>
      <w:bookmarkStart w:id="13" w:name="_Toc189824310"/>
      <w:r w:rsidRPr="00731D1B">
        <w:rPr>
          <w:rFonts w:cstheme="minorHAnsi"/>
        </w:rPr>
        <w:lastRenderedPageBreak/>
        <w:t>Table B: Benchmark Comparison of Product Category Performance</w:t>
      </w:r>
      <w:bookmarkEnd w:id="13"/>
    </w:p>
    <w:p w14:paraId="18CB6380" w14:textId="37CF07CD" w:rsidR="004810F8" w:rsidRPr="004810F8" w:rsidRDefault="004810F8" w:rsidP="004810F8">
      <w:pPr>
        <w:spacing w:before="100" w:beforeAutospacing="1" w:after="100" w:afterAutospacing="1" w:line="240" w:lineRule="auto"/>
        <w:rPr>
          <w:rFonts w:ascii="Times New Roman" w:eastAsia="Times New Roman" w:hAnsi="Times New Roman" w:cs="Times New Roman"/>
          <w:sz w:val="24"/>
          <w:szCs w:val="24"/>
        </w:rPr>
      </w:pPr>
      <w:r w:rsidRPr="004810F8">
        <w:rPr>
          <w:rFonts w:ascii="Times New Roman" w:eastAsia="Times New Roman" w:hAnsi="Times New Roman" w:cs="Times New Roman"/>
          <w:noProof/>
          <w:sz w:val="24"/>
          <w:szCs w:val="24"/>
        </w:rPr>
        <w:drawing>
          <wp:inline distT="0" distB="0" distL="0" distR="0" wp14:anchorId="1C6B215C" wp14:editId="5804B4C1">
            <wp:extent cx="5943600" cy="3141345"/>
            <wp:effectExtent l="0" t="0" r="0" b="1905"/>
            <wp:docPr id="2064626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626594" name=""/>
                    <pic:cNvPicPr/>
                  </pic:nvPicPr>
                  <pic:blipFill>
                    <a:blip r:embed="rId9"/>
                    <a:stretch>
                      <a:fillRect/>
                    </a:stretch>
                  </pic:blipFill>
                  <pic:spPr>
                    <a:xfrm>
                      <a:off x="0" y="0"/>
                      <a:ext cx="5943600" cy="3141345"/>
                    </a:xfrm>
                    <a:prstGeom prst="rect">
                      <a:avLst/>
                    </a:prstGeom>
                  </pic:spPr>
                </pic:pic>
              </a:graphicData>
            </a:graphic>
          </wp:inline>
        </w:drawing>
      </w:r>
    </w:p>
    <w:p w14:paraId="5CA5DC4C" w14:textId="60ABE79D" w:rsidR="00731D1B" w:rsidRDefault="00731D1B" w:rsidP="00731D1B"/>
    <w:p w14:paraId="620148B1" w14:textId="77777777" w:rsidR="00731D1B" w:rsidRPr="00731D1B" w:rsidRDefault="00731D1B" w:rsidP="00731D1B">
      <w:pPr>
        <w:pStyle w:val="Heading3"/>
        <w:spacing w:line="360" w:lineRule="auto"/>
        <w:jc w:val="both"/>
        <w:rPr>
          <w:rFonts w:cstheme="minorHAnsi"/>
          <w:b w:val="0"/>
        </w:rPr>
      </w:pPr>
      <w:bookmarkStart w:id="14" w:name="_Toc189824311"/>
      <w:r w:rsidRPr="00731D1B">
        <w:rPr>
          <w:rFonts w:cstheme="minorHAnsi"/>
        </w:rPr>
        <w:t>Key Findings</w:t>
      </w:r>
      <w:bookmarkEnd w:id="14"/>
    </w:p>
    <w:p w14:paraId="63ED5E99" w14:textId="77777777" w:rsidR="004D398F" w:rsidRPr="004D398F" w:rsidRDefault="004D398F" w:rsidP="004D398F">
      <w:pPr>
        <w:pStyle w:val="ListParagraph"/>
        <w:numPr>
          <w:ilvl w:val="0"/>
          <w:numId w:val="6"/>
        </w:numPr>
        <w:spacing w:line="360" w:lineRule="auto"/>
        <w:jc w:val="both"/>
        <w:rPr>
          <w:sz w:val="24"/>
          <w:szCs w:val="24"/>
        </w:rPr>
      </w:pPr>
      <w:r w:rsidRPr="004D398F">
        <w:rPr>
          <w:sz w:val="24"/>
          <w:szCs w:val="24"/>
        </w:rPr>
        <w:t>The company experienced stable sales hierarchies as Outerwear and Footwear produced yearly improvements while Outerwear achieved its highest quarterly amount by multiplying from £7.2M in 2020 to £9.8M in 2022.</w:t>
      </w:r>
    </w:p>
    <w:p w14:paraId="2452FE22" w14:textId="77777777" w:rsidR="004D398F" w:rsidRPr="004D398F" w:rsidRDefault="004D398F" w:rsidP="004D398F">
      <w:pPr>
        <w:pStyle w:val="ListParagraph"/>
        <w:numPr>
          <w:ilvl w:val="0"/>
          <w:numId w:val="6"/>
        </w:numPr>
        <w:spacing w:line="360" w:lineRule="auto"/>
        <w:jc w:val="both"/>
        <w:rPr>
          <w:sz w:val="24"/>
          <w:szCs w:val="24"/>
        </w:rPr>
      </w:pPr>
      <w:r w:rsidRPr="004D398F">
        <w:rPr>
          <w:sz w:val="24"/>
          <w:szCs w:val="24"/>
        </w:rPr>
        <w:t>The Quarterly sales data reveals Q4 consistently achieves the highest figures during all years and across every category since it maintains an intense seasonal pattern that drives top categories to generate 15-20% more sales than the rest of the quarters.</w:t>
      </w:r>
    </w:p>
    <w:p w14:paraId="409FA454" w14:textId="6323F049" w:rsidR="00731D1B" w:rsidRDefault="004D398F" w:rsidP="004D398F">
      <w:pPr>
        <w:pStyle w:val="ListParagraph"/>
        <w:numPr>
          <w:ilvl w:val="0"/>
          <w:numId w:val="6"/>
        </w:numPr>
        <w:spacing w:line="360" w:lineRule="auto"/>
        <w:jc w:val="both"/>
        <w:rPr>
          <w:sz w:val="24"/>
          <w:szCs w:val="24"/>
        </w:rPr>
      </w:pPr>
      <w:r w:rsidRPr="004D398F">
        <w:rPr>
          <w:sz w:val="24"/>
          <w:szCs w:val="24"/>
        </w:rPr>
        <w:t>Shorths and Trousers ranked as bottom performers throughout all periods and experienced quarterly sales growth between 2020 and 2022. The sales levels for these items raised from £1.4-1.6M monthly averages in 2020 to £1.8-2.1M peak levels in 2022</w:t>
      </w:r>
      <w:r w:rsidR="00731D1B" w:rsidRPr="00731D1B">
        <w:rPr>
          <w:sz w:val="24"/>
          <w:szCs w:val="24"/>
        </w:rPr>
        <w:t>.</w:t>
      </w:r>
    </w:p>
    <w:p w14:paraId="476FEEC6" w14:textId="0469593F" w:rsidR="00731D1B" w:rsidRPr="00731D1B" w:rsidRDefault="00731D1B" w:rsidP="00731D1B">
      <w:pPr>
        <w:pStyle w:val="Heading2"/>
        <w:rPr>
          <w:rFonts w:cstheme="minorHAnsi"/>
          <w:b w:val="0"/>
        </w:rPr>
      </w:pPr>
      <w:bookmarkStart w:id="15" w:name="_Toc189824312"/>
      <w:r w:rsidRPr="00731D1B">
        <w:rPr>
          <w:rFonts w:cstheme="minorHAnsi"/>
        </w:rPr>
        <w:lastRenderedPageBreak/>
        <w:t xml:space="preserve">Table C: Benchmark Comparisons of Sales Volume </w:t>
      </w:r>
      <w:r w:rsidR="004810F8">
        <w:rPr>
          <w:rFonts w:cstheme="minorHAnsi"/>
          <w:b w:val="0"/>
        </w:rPr>
        <w:t>&amp;</w:t>
      </w:r>
      <w:r w:rsidRPr="00731D1B">
        <w:rPr>
          <w:rFonts w:cstheme="minorHAnsi"/>
        </w:rPr>
        <w:t xml:space="preserve"> Value between Subsidiaries</w:t>
      </w:r>
      <w:bookmarkEnd w:id="15"/>
    </w:p>
    <w:p w14:paraId="2C280DFA" w14:textId="24C22898" w:rsidR="00293E5C" w:rsidRDefault="009E6FE9" w:rsidP="00731D1B">
      <w:pPr>
        <w:spacing w:line="360" w:lineRule="auto"/>
        <w:jc w:val="both"/>
        <w:rPr>
          <w:sz w:val="24"/>
          <w:szCs w:val="24"/>
        </w:rPr>
      </w:pPr>
      <w:r w:rsidRPr="009E6FE9">
        <w:rPr>
          <w:noProof/>
          <w:sz w:val="24"/>
          <w:szCs w:val="24"/>
        </w:rPr>
        <w:drawing>
          <wp:inline distT="0" distB="0" distL="0" distR="0" wp14:anchorId="479C1A39" wp14:editId="0F34FC29">
            <wp:extent cx="5943600" cy="2862580"/>
            <wp:effectExtent l="0" t="0" r="0" b="0"/>
            <wp:docPr id="1628373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373737" name=""/>
                    <pic:cNvPicPr/>
                  </pic:nvPicPr>
                  <pic:blipFill>
                    <a:blip r:embed="rId10"/>
                    <a:stretch>
                      <a:fillRect/>
                    </a:stretch>
                  </pic:blipFill>
                  <pic:spPr>
                    <a:xfrm>
                      <a:off x="0" y="0"/>
                      <a:ext cx="5943600" cy="2862580"/>
                    </a:xfrm>
                    <a:prstGeom prst="rect">
                      <a:avLst/>
                    </a:prstGeom>
                  </pic:spPr>
                </pic:pic>
              </a:graphicData>
            </a:graphic>
          </wp:inline>
        </w:drawing>
      </w:r>
    </w:p>
    <w:p w14:paraId="17AD06D1" w14:textId="77777777" w:rsidR="00731D1B" w:rsidRPr="00293E5C" w:rsidRDefault="00293E5C" w:rsidP="00293E5C">
      <w:pPr>
        <w:pStyle w:val="Heading3"/>
        <w:rPr>
          <w:rFonts w:cstheme="minorHAnsi"/>
          <w:b w:val="0"/>
        </w:rPr>
      </w:pPr>
      <w:bookmarkStart w:id="16" w:name="_Toc189824313"/>
      <w:r w:rsidRPr="00293E5C">
        <w:rPr>
          <w:rFonts w:cstheme="minorHAnsi"/>
        </w:rPr>
        <w:t>Key findings</w:t>
      </w:r>
      <w:bookmarkEnd w:id="16"/>
    </w:p>
    <w:p w14:paraId="703EFBE5" w14:textId="6DCBF3A8" w:rsidR="004D398F" w:rsidRPr="004D398F" w:rsidRDefault="004D398F" w:rsidP="004D398F">
      <w:pPr>
        <w:pStyle w:val="ListParagraph"/>
        <w:numPr>
          <w:ilvl w:val="0"/>
          <w:numId w:val="7"/>
        </w:numPr>
        <w:spacing w:line="360" w:lineRule="auto"/>
        <w:jc w:val="both"/>
        <w:rPr>
          <w:sz w:val="24"/>
          <w:szCs w:val="24"/>
        </w:rPr>
      </w:pPr>
      <w:r w:rsidRPr="004D398F">
        <w:rPr>
          <w:sz w:val="24"/>
          <w:szCs w:val="24"/>
        </w:rPr>
        <w:t>Germany’s sales volume and value consistently rank the highest in all the metrics; this is due to the increase in Year 3 where they registered an average quarterly value of £4.62M that’s 22% higher than the Year 1 £3.79M.</w:t>
      </w:r>
    </w:p>
    <w:p w14:paraId="3B52826B" w14:textId="31F94403" w:rsidR="004D398F" w:rsidRPr="004D398F" w:rsidRDefault="004D398F" w:rsidP="004D398F">
      <w:pPr>
        <w:pStyle w:val="ListParagraph"/>
        <w:numPr>
          <w:ilvl w:val="0"/>
          <w:numId w:val="7"/>
        </w:numPr>
        <w:spacing w:line="360" w:lineRule="auto"/>
        <w:jc w:val="both"/>
        <w:rPr>
          <w:sz w:val="24"/>
          <w:szCs w:val="24"/>
        </w:rPr>
      </w:pPr>
      <w:r w:rsidRPr="004D398F">
        <w:rPr>
          <w:sz w:val="24"/>
          <w:szCs w:val="24"/>
        </w:rPr>
        <w:t xml:space="preserve">The disparity is even more exposed in the total sales value where Germany has </w:t>
      </w:r>
      <w:r>
        <w:rPr>
          <w:sz w:val="24"/>
          <w:szCs w:val="24"/>
        </w:rPr>
        <w:t>outperformed</w:t>
      </w:r>
      <w:r w:rsidRPr="004D398F">
        <w:rPr>
          <w:sz w:val="24"/>
          <w:szCs w:val="24"/>
        </w:rPr>
        <w:t xml:space="preserve"> the UK by close to £7.5M and France </w:t>
      </w:r>
      <w:r>
        <w:rPr>
          <w:sz w:val="24"/>
          <w:szCs w:val="24"/>
        </w:rPr>
        <w:t>by</w:t>
      </w:r>
      <w:r w:rsidRPr="004D398F">
        <w:rPr>
          <w:sz w:val="24"/>
          <w:szCs w:val="24"/>
        </w:rPr>
        <w:t xml:space="preserve"> £30.97M indicating that the industry and sales in these markets differ significantly.</w:t>
      </w:r>
    </w:p>
    <w:p w14:paraId="7F4AC3E0" w14:textId="444F77C1" w:rsidR="00293E5C" w:rsidRDefault="004D398F" w:rsidP="004D398F">
      <w:pPr>
        <w:pStyle w:val="ListParagraph"/>
        <w:numPr>
          <w:ilvl w:val="0"/>
          <w:numId w:val="7"/>
        </w:numPr>
        <w:spacing w:line="360" w:lineRule="auto"/>
        <w:jc w:val="both"/>
        <w:rPr>
          <w:sz w:val="24"/>
          <w:szCs w:val="24"/>
        </w:rPr>
      </w:pPr>
      <w:r w:rsidRPr="004D398F">
        <w:rPr>
          <w:sz w:val="24"/>
          <w:szCs w:val="24"/>
        </w:rPr>
        <w:t>In all the subsidiaries, the high quarterly figures are indicated in the Q4 of Year 2 which depicts seasonality with Germany selling 3676 units and; £4.55M in value</w:t>
      </w:r>
      <w:r w:rsidR="00293E5C" w:rsidRPr="00293E5C">
        <w:rPr>
          <w:sz w:val="24"/>
          <w:szCs w:val="24"/>
        </w:rPr>
        <w:t>.</w:t>
      </w:r>
    </w:p>
    <w:p w14:paraId="3865079B" w14:textId="77777777" w:rsidR="00A27C6F" w:rsidRPr="00A27C6F" w:rsidRDefault="00293E5C" w:rsidP="00A27C6F">
      <w:pPr>
        <w:pStyle w:val="Heading1"/>
        <w:rPr>
          <w:rFonts w:cstheme="minorHAnsi"/>
          <w:b w:val="0"/>
        </w:rPr>
      </w:pPr>
      <w:bookmarkStart w:id="17" w:name="_Toc189824314"/>
      <w:r w:rsidRPr="00A27C6F">
        <w:rPr>
          <w:rFonts w:cstheme="minorHAnsi"/>
        </w:rPr>
        <w:t>Task 4: Data visualizations and commentary</w:t>
      </w:r>
      <w:bookmarkEnd w:id="17"/>
    </w:p>
    <w:p w14:paraId="64E4EF37" w14:textId="593D558B" w:rsidR="003449A5" w:rsidRDefault="004D398F" w:rsidP="003449A5">
      <w:pPr>
        <w:spacing w:line="360" w:lineRule="auto"/>
        <w:jc w:val="both"/>
      </w:pPr>
      <w:r w:rsidRPr="004D398F">
        <w:rPr>
          <w:sz w:val="24"/>
        </w:rPr>
        <w:t xml:space="preserve">This section provides three subsets of data in the form of charts to forecast the Olympic Sports Ltd.’s performance. The trends presented in the charts reveal the dynamics of monthly sales for France and UK subsidiaries, compare performance of different product categories outlet in the Germany stores and the assessment of the private brand agreements. </w:t>
      </w:r>
    </w:p>
    <w:p w14:paraId="51C18140" w14:textId="77777777" w:rsidR="00A27C6F" w:rsidRDefault="00A27C6F" w:rsidP="00A27C6F"/>
    <w:p w14:paraId="07885FC7" w14:textId="491B865F" w:rsidR="00623847" w:rsidRPr="00484D29" w:rsidRDefault="00A27C6F" w:rsidP="00484D29">
      <w:pPr>
        <w:pStyle w:val="Heading2"/>
        <w:rPr>
          <w:rFonts w:cstheme="minorHAnsi"/>
          <w:b w:val="0"/>
        </w:rPr>
      </w:pPr>
      <w:bookmarkStart w:id="18" w:name="_Toc189824315"/>
      <w:r w:rsidRPr="00484D29">
        <w:rPr>
          <w:rFonts w:cstheme="minorHAnsi"/>
        </w:rPr>
        <w:lastRenderedPageBreak/>
        <w:t>Chart A: Comparison of sales value trends across subsidiaries over</w:t>
      </w:r>
      <w:r w:rsidR="003449A5">
        <w:rPr>
          <w:rFonts w:cstheme="minorHAnsi"/>
          <w:b w:val="0"/>
        </w:rPr>
        <w:t xml:space="preserve"> </w:t>
      </w:r>
      <w:r w:rsidRPr="00484D29">
        <w:rPr>
          <w:rFonts w:cstheme="minorHAnsi"/>
        </w:rPr>
        <w:t>time</w:t>
      </w:r>
      <w:bookmarkEnd w:id="18"/>
    </w:p>
    <w:p w14:paraId="15CEFB82" w14:textId="51C774E9" w:rsidR="00484D29" w:rsidRDefault="00E61167" w:rsidP="00A27C6F">
      <w:r w:rsidRPr="00E61167">
        <w:rPr>
          <w:noProof/>
        </w:rPr>
        <w:drawing>
          <wp:inline distT="0" distB="0" distL="0" distR="0" wp14:anchorId="6BDCFE6F" wp14:editId="54392397">
            <wp:extent cx="5943600" cy="2736850"/>
            <wp:effectExtent l="0" t="0" r="0" b="6350"/>
            <wp:docPr id="436921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921588" name=""/>
                    <pic:cNvPicPr/>
                  </pic:nvPicPr>
                  <pic:blipFill>
                    <a:blip r:embed="rId11"/>
                    <a:stretch>
                      <a:fillRect/>
                    </a:stretch>
                  </pic:blipFill>
                  <pic:spPr>
                    <a:xfrm>
                      <a:off x="0" y="0"/>
                      <a:ext cx="5943600" cy="2736850"/>
                    </a:xfrm>
                    <a:prstGeom prst="rect">
                      <a:avLst/>
                    </a:prstGeom>
                  </pic:spPr>
                </pic:pic>
              </a:graphicData>
            </a:graphic>
          </wp:inline>
        </w:drawing>
      </w:r>
    </w:p>
    <w:p w14:paraId="40937621" w14:textId="77777777" w:rsidR="00484D29" w:rsidRDefault="00484D29" w:rsidP="00484D29"/>
    <w:p w14:paraId="7427A9E6" w14:textId="77777777" w:rsidR="00A27C6F" w:rsidRPr="00484D29" w:rsidRDefault="00484D29" w:rsidP="00484D29">
      <w:pPr>
        <w:pStyle w:val="Heading3"/>
        <w:rPr>
          <w:rFonts w:cstheme="minorHAnsi"/>
          <w:b w:val="0"/>
        </w:rPr>
      </w:pPr>
      <w:bookmarkStart w:id="19" w:name="_Toc189824316"/>
      <w:r w:rsidRPr="00484D29">
        <w:rPr>
          <w:rFonts w:cstheme="minorHAnsi"/>
        </w:rPr>
        <w:t>Key findings</w:t>
      </w:r>
      <w:bookmarkEnd w:id="19"/>
    </w:p>
    <w:p w14:paraId="3079C367" w14:textId="309EB756" w:rsidR="004D398F" w:rsidRPr="004D398F" w:rsidRDefault="004D398F" w:rsidP="004D398F">
      <w:pPr>
        <w:pStyle w:val="ListParagraph"/>
        <w:numPr>
          <w:ilvl w:val="0"/>
          <w:numId w:val="11"/>
        </w:numPr>
        <w:spacing w:line="360" w:lineRule="auto"/>
        <w:jc w:val="both"/>
        <w:rPr>
          <w:sz w:val="24"/>
        </w:rPr>
      </w:pPr>
      <w:r w:rsidRPr="004D398F">
        <w:rPr>
          <w:sz w:val="24"/>
        </w:rPr>
        <w:t>Germany shows a very strong growth trend, and the sales value is up by 57% from 2020 of £4.7M to 2022 £7.4M and grows even more in the second half of 2022 after contracts of only private brands.</w:t>
      </w:r>
    </w:p>
    <w:p w14:paraId="4A4A1FA8" w14:textId="1FD9684D" w:rsidR="004D398F" w:rsidRPr="004D398F" w:rsidRDefault="004D398F" w:rsidP="004D398F">
      <w:pPr>
        <w:pStyle w:val="ListParagraph"/>
        <w:numPr>
          <w:ilvl w:val="0"/>
          <w:numId w:val="11"/>
        </w:numPr>
        <w:spacing w:line="360" w:lineRule="auto"/>
        <w:jc w:val="both"/>
        <w:rPr>
          <w:sz w:val="24"/>
        </w:rPr>
      </w:pPr>
      <w:r w:rsidRPr="004D398F">
        <w:rPr>
          <w:sz w:val="24"/>
        </w:rPr>
        <w:t xml:space="preserve">All subsidiaries have experienced growth from the previous year, but the percentage differs –France being 20% for the three years which indicates that the French market is more mature than the UK market </w:t>
      </w:r>
      <w:r>
        <w:rPr>
          <w:sz w:val="24"/>
        </w:rPr>
        <w:t xml:space="preserve">at </w:t>
      </w:r>
      <w:r w:rsidRPr="004D398F">
        <w:rPr>
          <w:sz w:val="24"/>
        </w:rPr>
        <w:t>26%.</w:t>
      </w:r>
    </w:p>
    <w:p w14:paraId="14967162" w14:textId="5B48E044" w:rsidR="00484D29" w:rsidRDefault="004D398F" w:rsidP="004D398F">
      <w:pPr>
        <w:pStyle w:val="ListParagraph"/>
        <w:numPr>
          <w:ilvl w:val="0"/>
          <w:numId w:val="11"/>
        </w:numPr>
        <w:spacing w:line="360" w:lineRule="auto"/>
        <w:jc w:val="both"/>
        <w:rPr>
          <w:sz w:val="24"/>
        </w:rPr>
      </w:pPr>
      <w:r w:rsidRPr="004D398F">
        <w:rPr>
          <w:sz w:val="24"/>
        </w:rPr>
        <w:t>This gap expanded further by 2022, where Germany earned £7.4M while France earned £3.2M, indicating effective market development and business strategy in Germany</w:t>
      </w:r>
      <w:r w:rsidR="00484D29" w:rsidRPr="00484D29">
        <w:rPr>
          <w:sz w:val="24"/>
        </w:rPr>
        <w:t>.</w:t>
      </w:r>
    </w:p>
    <w:p w14:paraId="6A887578" w14:textId="540F1EA4" w:rsidR="00484D29" w:rsidRPr="005E0A29" w:rsidRDefault="00484D29" w:rsidP="005E0A29">
      <w:pPr>
        <w:pStyle w:val="Heading2"/>
        <w:rPr>
          <w:rFonts w:cstheme="minorHAnsi"/>
          <w:b w:val="0"/>
        </w:rPr>
      </w:pPr>
      <w:bookmarkStart w:id="20" w:name="_Toc189824317"/>
      <w:r w:rsidRPr="005E0A29">
        <w:rPr>
          <w:rFonts w:cstheme="minorHAnsi"/>
        </w:rPr>
        <w:lastRenderedPageBreak/>
        <w:t>Chart B: Sport product categories comparisons between subsidiaries</w:t>
      </w:r>
      <w:bookmarkEnd w:id="20"/>
    </w:p>
    <w:p w14:paraId="100F77A1" w14:textId="0C95AE5E" w:rsidR="00027C8E" w:rsidRDefault="00BA76C2" w:rsidP="00484D29">
      <w:r>
        <w:rPr>
          <w:noProof/>
        </w:rPr>
        <w:drawing>
          <wp:inline distT="0" distB="0" distL="0" distR="0" wp14:anchorId="1E4D56D5" wp14:editId="642F7B2F">
            <wp:extent cx="4883150" cy="5017135"/>
            <wp:effectExtent l="0" t="0" r="0" b="0"/>
            <wp:docPr id="1428356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3150" cy="5017135"/>
                    </a:xfrm>
                    <a:prstGeom prst="rect">
                      <a:avLst/>
                    </a:prstGeom>
                    <a:noFill/>
                  </pic:spPr>
                </pic:pic>
              </a:graphicData>
            </a:graphic>
          </wp:inline>
        </w:drawing>
      </w:r>
    </w:p>
    <w:p w14:paraId="3C6D18B5" w14:textId="77777777" w:rsidR="005E0A29" w:rsidRPr="00027C8E" w:rsidRDefault="00027C8E" w:rsidP="00027C8E">
      <w:pPr>
        <w:pStyle w:val="Heading3"/>
        <w:rPr>
          <w:rFonts w:cstheme="minorHAnsi"/>
          <w:b w:val="0"/>
        </w:rPr>
      </w:pPr>
      <w:bookmarkStart w:id="21" w:name="_Toc189824318"/>
      <w:r w:rsidRPr="00027C8E">
        <w:rPr>
          <w:rFonts w:cstheme="minorHAnsi"/>
        </w:rPr>
        <w:t>Key Findings</w:t>
      </w:r>
      <w:bookmarkEnd w:id="21"/>
    </w:p>
    <w:p w14:paraId="4E63D34F" w14:textId="5ACDAF3C" w:rsidR="004D398F" w:rsidRPr="004D398F" w:rsidRDefault="004D398F" w:rsidP="004D398F">
      <w:pPr>
        <w:pStyle w:val="ListParagraph"/>
        <w:numPr>
          <w:ilvl w:val="0"/>
          <w:numId w:val="12"/>
        </w:numPr>
        <w:spacing w:line="360" w:lineRule="auto"/>
        <w:jc w:val="both"/>
        <w:rPr>
          <w:sz w:val="24"/>
        </w:rPr>
      </w:pPr>
      <w:r w:rsidRPr="004D398F">
        <w:rPr>
          <w:sz w:val="24"/>
        </w:rPr>
        <w:t>Clothing Accessories and Tops follow the same pattern in groups A, B &amp;C, while the USA tops groups D &amp; E by selling £2.4M outerwear and £2.1M footwear. From this trend, it is apparent that there exists a consumers’ bias towards technologically advanced and higher priced articles of sportswear.</w:t>
      </w:r>
    </w:p>
    <w:p w14:paraId="66AE6672" w14:textId="55C5184D" w:rsidR="004D398F" w:rsidRPr="004D398F" w:rsidRDefault="004D398F" w:rsidP="004D398F">
      <w:pPr>
        <w:pStyle w:val="ListParagraph"/>
        <w:numPr>
          <w:ilvl w:val="0"/>
          <w:numId w:val="12"/>
        </w:numPr>
        <w:spacing w:line="360" w:lineRule="auto"/>
        <w:jc w:val="both"/>
        <w:rPr>
          <w:sz w:val="24"/>
        </w:rPr>
      </w:pPr>
      <w:r w:rsidRPr="004D398F">
        <w:rPr>
          <w:sz w:val="24"/>
        </w:rPr>
        <w:t>Germany surpasses all subsidiaries by a significant difference, which can be viewed at the level of the absolute figures: even the Trousers – £846 K, puts Germany ahead of all other France’s subsidiary’s average and more.</w:t>
      </w:r>
    </w:p>
    <w:p w14:paraId="0C202D83" w14:textId="761234F7" w:rsidR="00027C8E" w:rsidRPr="00027C8E" w:rsidRDefault="004D398F" w:rsidP="004D398F">
      <w:pPr>
        <w:pStyle w:val="ListParagraph"/>
        <w:numPr>
          <w:ilvl w:val="0"/>
          <w:numId w:val="12"/>
        </w:numPr>
        <w:spacing w:line="360" w:lineRule="auto"/>
        <w:jc w:val="both"/>
        <w:rPr>
          <w:sz w:val="24"/>
        </w:rPr>
      </w:pPr>
      <w:r w:rsidRPr="004D398F">
        <w:rPr>
          <w:sz w:val="24"/>
        </w:rPr>
        <w:lastRenderedPageBreak/>
        <w:t>In Basic Clothing merchandise, T-shirts, Shorts, Trousers &amp; leisure wear have comparatively lower sale values across geographical regions &amp; especially France which has under £450,000 on sales of these products – an area that could be improved</w:t>
      </w:r>
      <w:r w:rsidR="00027C8E" w:rsidRPr="00027C8E">
        <w:rPr>
          <w:sz w:val="24"/>
        </w:rPr>
        <w:t>.</w:t>
      </w:r>
    </w:p>
    <w:p w14:paraId="497EC272" w14:textId="3387740D" w:rsidR="00027C8E" w:rsidRPr="00027C8E" w:rsidRDefault="00027C8E" w:rsidP="00027C8E">
      <w:pPr>
        <w:pStyle w:val="Heading2"/>
        <w:rPr>
          <w:rFonts w:cstheme="minorHAnsi"/>
          <w:b w:val="0"/>
        </w:rPr>
      </w:pPr>
      <w:bookmarkStart w:id="22" w:name="_Toc189824319"/>
      <w:r w:rsidRPr="00027C8E">
        <w:rPr>
          <w:rFonts w:cstheme="minorHAnsi"/>
        </w:rPr>
        <w:t>Chart C: Impact of the two contracts signed in Germany to produce sport products for private brands</w:t>
      </w:r>
      <w:bookmarkEnd w:id="22"/>
    </w:p>
    <w:p w14:paraId="1EF670AC" w14:textId="124D03F3" w:rsidR="00027C8E" w:rsidRDefault="00BA76C2" w:rsidP="00027C8E">
      <w:r w:rsidRPr="00BA76C2">
        <w:rPr>
          <w:noProof/>
        </w:rPr>
        <w:drawing>
          <wp:inline distT="0" distB="0" distL="0" distR="0" wp14:anchorId="2F9D38CD" wp14:editId="0663A4A2">
            <wp:extent cx="5943600" cy="2224405"/>
            <wp:effectExtent l="0" t="0" r="0" b="4445"/>
            <wp:docPr id="171007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07709" name=""/>
                    <pic:cNvPicPr/>
                  </pic:nvPicPr>
                  <pic:blipFill>
                    <a:blip r:embed="rId13"/>
                    <a:stretch>
                      <a:fillRect/>
                    </a:stretch>
                  </pic:blipFill>
                  <pic:spPr>
                    <a:xfrm>
                      <a:off x="0" y="0"/>
                      <a:ext cx="5943600" cy="2224405"/>
                    </a:xfrm>
                    <a:prstGeom prst="rect">
                      <a:avLst/>
                    </a:prstGeom>
                  </pic:spPr>
                </pic:pic>
              </a:graphicData>
            </a:graphic>
          </wp:inline>
        </w:drawing>
      </w:r>
    </w:p>
    <w:p w14:paraId="6F4D477B" w14:textId="77777777" w:rsidR="00027C8E" w:rsidRPr="00027C8E" w:rsidRDefault="00027C8E" w:rsidP="00027C8E">
      <w:pPr>
        <w:pStyle w:val="Heading3"/>
        <w:rPr>
          <w:rFonts w:cstheme="minorHAnsi"/>
          <w:b w:val="0"/>
        </w:rPr>
      </w:pPr>
      <w:bookmarkStart w:id="23" w:name="_Toc189824320"/>
      <w:r w:rsidRPr="00027C8E">
        <w:rPr>
          <w:rFonts w:cstheme="minorHAnsi"/>
        </w:rPr>
        <w:t>Key Findings</w:t>
      </w:r>
      <w:bookmarkEnd w:id="23"/>
    </w:p>
    <w:p w14:paraId="4745C4E5" w14:textId="77777777" w:rsidR="004D398F" w:rsidRPr="004D398F" w:rsidRDefault="004D398F" w:rsidP="004D398F">
      <w:pPr>
        <w:pStyle w:val="ListParagraph"/>
        <w:numPr>
          <w:ilvl w:val="0"/>
          <w:numId w:val="13"/>
        </w:numPr>
        <w:spacing w:line="360" w:lineRule="auto"/>
        <w:jc w:val="both"/>
        <w:rPr>
          <w:sz w:val="24"/>
        </w:rPr>
      </w:pPr>
      <w:r w:rsidRPr="004D398F">
        <w:rPr>
          <w:sz w:val="24"/>
        </w:rPr>
        <w:t>Germany saw increased sales in 2022 from private brand contracts leading to continuous exceeded performance beyond the 2020-2021 monthly averages and this trend intensified during the second half of the year.</w:t>
      </w:r>
    </w:p>
    <w:p w14:paraId="5A9F5A89" w14:textId="77777777" w:rsidR="004D398F" w:rsidRPr="004D398F" w:rsidRDefault="004D398F" w:rsidP="004D398F">
      <w:pPr>
        <w:pStyle w:val="ListParagraph"/>
        <w:numPr>
          <w:ilvl w:val="0"/>
          <w:numId w:val="13"/>
        </w:numPr>
        <w:spacing w:line="360" w:lineRule="auto"/>
        <w:jc w:val="both"/>
        <w:rPr>
          <w:sz w:val="24"/>
        </w:rPr>
      </w:pPr>
      <w:r w:rsidRPr="004D398F">
        <w:rPr>
          <w:sz w:val="24"/>
        </w:rPr>
        <w:t>The sales figures from July to August 2022 showed Germany experienced its maximum effects as the market reached double the historical sales averages while surpassing both UK and French market performance.</w:t>
      </w:r>
    </w:p>
    <w:p w14:paraId="2FDE991D" w14:textId="5C9640B7" w:rsidR="00027C8E" w:rsidRPr="00027C8E" w:rsidRDefault="004D398F" w:rsidP="004D398F">
      <w:pPr>
        <w:pStyle w:val="ListParagraph"/>
        <w:numPr>
          <w:ilvl w:val="0"/>
          <w:numId w:val="13"/>
        </w:numPr>
        <w:spacing w:line="360" w:lineRule="auto"/>
        <w:jc w:val="both"/>
        <w:rPr>
          <w:sz w:val="24"/>
        </w:rPr>
      </w:pPr>
      <w:r w:rsidRPr="004D398F">
        <w:rPr>
          <w:sz w:val="24"/>
        </w:rPr>
        <w:t>The performance of UK maintained levels matching Germany before 2022 and France had the lowest sales figures continuously throughout 2022 as both subsidiaries demonstrated marked differences</w:t>
      </w:r>
      <w:r w:rsidR="00027C8E" w:rsidRPr="00027C8E">
        <w:rPr>
          <w:sz w:val="24"/>
        </w:rPr>
        <w:t>.</w:t>
      </w:r>
    </w:p>
    <w:p w14:paraId="09A4BC97" w14:textId="77777777" w:rsidR="00027C8E" w:rsidRPr="00027C8E" w:rsidRDefault="00027C8E" w:rsidP="00027C8E">
      <w:pPr>
        <w:pStyle w:val="Heading1"/>
        <w:rPr>
          <w:rFonts w:cstheme="minorHAnsi"/>
          <w:b w:val="0"/>
        </w:rPr>
      </w:pPr>
      <w:bookmarkStart w:id="24" w:name="_Toc189824321"/>
      <w:r w:rsidRPr="00027C8E">
        <w:rPr>
          <w:rFonts w:cstheme="minorHAnsi"/>
        </w:rPr>
        <w:t>Task 5: Conclusions and recommendations</w:t>
      </w:r>
      <w:bookmarkEnd w:id="24"/>
    </w:p>
    <w:p w14:paraId="0FE3922C" w14:textId="2FBF971B" w:rsidR="00027C8E" w:rsidRPr="007D5A25" w:rsidRDefault="00BA76C2" w:rsidP="007D5A25">
      <w:pPr>
        <w:pStyle w:val="Heading2"/>
      </w:pPr>
      <w:bookmarkStart w:id="25" w:name="_Toc189824322"/>
      <w:r w:rsidRPr="007D5A25">
        <w:t>Conclusion</w:t>
      </w:r>
      <w:bookmarkEnd w:id="25"/>
    </w:p>
    <w:p w14:paraId="7BCEF52B" w14:textId="77777777" w:rsidR="004D398F" w:rsidRPr="004D398F" w:rsidRDefault="004D398F" w:rsidP="004D398F">
      <w:pPr>
        <w:spacing w:line="360" w:lineRule="auto"/>
        <w:jc w:val="both"/>
        <w:rPr>
          <w:b/>
          <w:bCs/>
          <w:sz w:val="24"/>
        </w:rPr>
      </w:pPr>
      <w:r w:rsidRPr="004D398F">
        <w:rPr>
          <w:b/>
          <w:bCs/>
          <w:sz w:val="24"/>
        </w:rPr>
        <w:t xml:space="preserve">Market Analysis: </w:t>
      </w:r>
      <w:r w:rsidRPr="004D398F">
        <w:rPr>
          <w:sz w:val="24"/>
        </w:rPr>
        <w:t xml:space="preserve">This section analyses the quantity and value of carbonated beverages sold across the three countries; Germany tops the market leaving behind the UK and France in terms of sales volume, value and quarterly sales. Taking the performance aspect into consideration, the role hierarchy can be seen as follows: Germany has an outstanding performance in terms of </w:t>
      </w:r>
      <w:r w:rsidRPr="004D398F">
        <w:rPr>
          <w:sz w:val="24"/>
        </w:rPr>
        <w:lastRenderedPageBreak/>
        <w:t>growth; UK takes the second place keeping a stable performance as opposed to the first place; France, however, should address more issue related to market penetration.</w:t>
      </w:r>
    </w:p>
    <w:p w14:paraId="4DA05AD9" w14:textId="77777777" w:rsidR="004D398F" w:rsidRPr="004D398F" w:rsidRDefault="004D398F" w:rsidP="004D398F">
      <w:pPr>
        <w:spacing w:line="360" w:lineRule="auto"/>
        <w:jc w:val="both"/>
        <w:rPr>
          <w:b/>
          <w:bCs/>
          <w:sz w:val="24"/>
        </w:rPr>
      </w:pPr>
      <w:r w:rsidRPr="004D398F">
        <w:rPr>
          <w:b/>
          <w:bCs/>
          <w:sz w:val="24"/>
        </w:rPr>
        <w:t xml:space="preserve">Category Sales: </w:t>
      </w:r>
      <w:r w:rsidRPr="004D398F">
        <w:rPr>
          <w:sz w:val="24"/>
        </w:rPr>
        <w:t>According to regions, the three leading categories are the premium segments, namely, outerwear or apparel, footwear, and shirts, which affect all regions, although sporting goods consumer preferences now lean toward technical sportswear. The above categories should be target towards development and promotional investment. The basic apparel segment of Apparel namely shorts, trousers, and T-shirts has been identified to need a strategic management intervention in order to facilitate an improved market standing.</w:t>
      </w:r>
    </w:p>
    <w:p w14:paraId="54EC9879" w14:textId="1EB04399" w:rsidR="00BA76C2" w:rsidRPr="00BA76C2" w:rsidRDefault="004D398F" w:rsidP="004D398F">
      <w:pPr>
        <w:spacing w:line="360" w:lineRule="auto"/>
        <w:jc w:val="both"/>
        <w:rPr>
          <w:sz w:val="24"/>
        </w:rPr>
      </w:pPr>
      <w:r w:rsidRPr="004D398F">
        <w:rPr>
          <w:b/>
          <w:bCs/>
          <w:sz w:val="24"/>
        </w:rPr>
        <w:t xml:space="preserve">Sales Trends: </w:t>
      </w:r>
      <w:r w:rsidRPr="004D398F">
        <w:rPr>
          <w:sz w:val="24"/>
        </w:rPr>
        <w:t>Data on evaluated sales indicate sales performance from year 2020 to 2022, with the year 2022 indicating the highest sales record. We also identify room for dynamic growth at present but it is distributed on regional and product-specific levels indicating that there are vast development prospects in targeted programs</w:t>
      </w:r>
      <w:r w:rsidR="00BA76C2" w:rsidRPr="00BA76C2">
        <w:rPr>
          <w:sz w:val="24"/>
        </w:rPr>
        <w:t>.</w:t>
      </w:r>
    </w:p>
    <w:p w14:paraId="75B813FB" w14:textId="58851BF5" w:rsidR="00027C8E" w:rsidRPr="00027C8E" w:rsidRDefault="007D5A25" w:rsidP="00027C8E">
      <w:pPr>
        <w:spacing w:line="360" w:lineRule="auto"/>
        <w:jc w:val="both"/>
        <w:rPr>
          <w:sz w:val="24"/>
        </w:rPr>
      </w:pPr>
      <w:r>
        <w:rPr>
          <w:b/>
          <w:bCs/>
          <w:sz w:val="24"/>
        </w:rPr>
        <w:t>Influence</w:t>
      </w:r>
      <w:r w:rsidR="00BA76C2" w:rsidRPr="00BA76C2">
        <w:rPr>
          <w:b/>
          <w:bCs/>
          <w:sz w:val="24"/>
        </w:rPr>
        <w:t xml:space="preserve"> of Private Brand Contracts in Germany</w:t>
      </w:r>
      <w:r w:rsidR="00BA76C2">
        <w:rPr>
          <w:sz w:val="24"/>
        </w:rPr>
        <w:t>:</w:t>
      </w:r>
      <w:r w:rsidR="00BA76C2" w:rsidRPr="00BA76C2">
        <w:rPr>
          <w:sz w:val="24"/>
        </w:rPr>
        <w:t xml:space="preserve"> </w:t>
      </w:r>
      <w:r w:rsidR="004D398F" w:rsidRPr="004D398F">
        <w:rPr>
          <w:sz w:val="24"/>
        </w:rPr>
        <w:t>Moreover, the use of private brand contracts in Germany has brought an outstanding improvement and this seems to have Many in Footwear category. Such a strategic change has shifted the market position of the subsidiary, proving the viability of the private brand partnership model (Zhang et al., 2024)</w:t>
      </w:r>
      <w:r w:rsidR="00BA76C2" w:rsidRPr="00BA76C2">
        <w:rPr>
          <w:sz w:val="24"/>
        </w:rPr>
        <w:t>.</w:t>
      </w:r>
    </w:p>
    <w:p w14:paraId="31E37088" w14:textId="76C31B84" w:rsidR="00027C8E" w:rsidRPr="007D5A25" w:rsidRDefault="00BA76C2" w:rsidP="007D5A25">
      <w:pPr>
        <w:pStyle w:val="Heading2"/>
      </w:pPr>
      <w:bookmarkStart w:id="26" w:name="_Toc189824323"/>
      <w:r w:rsidRPr="007D5A25">
        <w:t xml:space="preserve">Strategic </w:t>
      </w:r>
      <w:r w:rsidR="00027C8E" w:rsidRPr="007D5A25">
        <w:t>Recommendations</w:t>
      </w:r>
      <w:bookmarkEnd w:id="26"/>
    </w:p>
    <w:p w14:paraId="6AD0058E" w14:textId="77777777" w:rsidR="00BA76C2" w:rsidRDefault="00BA76C2" w:rsidP="007D5A25">
      <w:pPr>
        <w:pStyle w:val="Heading3"/>
      </w:pPr>
      <w:bookmarkStart w:id="27" w:name="_Toc189824324"/>
      <w:r w:rsidRPr="00BA76C2">
        <w:t>Market Entry Priorities</w:t>
      </w:r>
      <w:bookmarkEnd w:id="27"/>
    </w:p>
    <w:p w14:paraId="37C53B35" w14:textId="068889E2" w:rsidR="00BA76C2" w:rsidRPr="00BA76C2" w:rsidRDefault="00BA76C2" w:rsidP="00BA76C2">
      <w:pPr>
        <w:spacing w:line="360" w:lineRule="auto"/>
        <w:jc w:val="both"/>
        <w:rPr>
          <w:sz w:val="24"/>
        </w:rPr>
      </w:pPr>
      <w:r w:rsidRPr="00BA76C2">
        <w:rPr>
          <w:sz w:val="24"/>
        </w:rPr>
        <w:t xml:space="preserve"> </w:t>
      </w:r>
      <w:r w:rsidR="004D398F" w:rsidRPr="004D398F">
        <w:rPr>
          <w:sz w:val="24"/>
        </w:rPr>
        <w:t>Germany proves to be the best market for our initial branded retail expansion because of the thorough performance evaluation (</w:t>
      </w:r>
      <w:r w:rsidR="008524E8" w:rsidRPr="004D398F">
        <w:rPr>
          <w:sz w:val="24"/>
        </w:rPr>
        <w:t>Yebin</w:t>
      </w:r>
      <w:r w:rsidR="004D398F" w:rsidRPr="004D398F">
        <w:rPr>
          <w:sz w:val="24"/>
        </w:rPr>
        <w:t xml:space="preserve"> and Ikram, 2022). The strategic choice would use existing market strength to establish direct consumer access as well as improve brand visibility</w:t>
      </w:r>
      <w:r w:rsidRPr="00BA76C2">
        <w:rPr>
          <w:sz w:val="24"/>
        </w:rPr>
        <w:t>.</w:t>
      </w:r>
    </w:p>
    <w:p w14:paraId="3733E5E4" w14:textId="77777777" w:rsidR="00BA76C2" w:rsidRDefault="00BA76C2" w:rsidP="007D5A25">
      <w:pPr>
        <w:pStyle w:val="Heading3"/>
      </w:pPr>
      <w:bookmarkStart w:id="28" w:name="_Toc189824325"/>
      <w:r w:rsidRPr="00BA76C2">
        <w:t>Product Strategy Enhancement</w:t>
      </w:r>
      <w:bookmarkEnd w:id="28"/>
    </w:p>
    <w:p w14:paraId="1556A7E3" w14:textId="50E5BA32" w:rsidR="00027C8E" w:rsidRDefault="004D398F" w:rsidP="00027C8E">
      <w:pPr>
        <w:spacing w:line="360" w:lineRule="auto"/>
        <w:jc w:val="both"/>
        <w:rPr>
          <w:sz w:val="24"/>
        </w:rPr>
      </w:pPr>
      <w:r w:rsidRPr="004D398F">
        <w:rPr>
          <w:sz w:val="24"/>
        </w:rPr>
        <w:t xml:space="preserve"> Direct company development resources towards flagship product categories of Outerwear, Footwear and Shirts for innovation-focused quality improvements with design updates. Organization should perform market research to determine market requirements for their underperforming product segments Shorts, Trousers and T-shirts</w:t>
      </w:r>
      <w:r w:rsidR="00027C8E" w:rsidRPr="00027C8E">
        <w:rPr>
          <w:sz w:val="24"/>
        </w:rPr>
        <w:t>.</w:t>
      </w:r>
    </w:p>
    <w:p w14:paraId="2452F29E" w14:textId="77777777" w:rsidR="00BD3282" w:rsidRDefault="00BD3282" w:rsidP="007D5A25">
      <w:pPr>
        <w:pStyle w:val="Heading2"/>
      </w:pPr>
    </w:p>
    <w:p w14:paraId="6886DE2F" w14:textId="0ADB90E9" w:rsidR="007D5A25" w:rsidRDefault="00BA76C2" w:rsidP="007D5A25">
      <w:pPr>
        <w:pStyle w:val="Heading2"/>
      </w:pPr>
      <w:bookmarkStart w:id="29" w:name="_Toc189824326"/>
      <w:r w:rsidRPr="00BA76C2">
        <w:t>Regional Market Approaches</w:t>
      </w:r>
      <w:bookmarkEnd w:id="29"/>
      <w:r w:rsidRPr="00BA76C2">
        <w:t xml:space="preserve"> </w:t>
      </w:r>
    </w:p>
    <w:p w14:paraId="17D65731" w14:textId="004169DC" w:rsidR="00BA76C2" w:rsidRPr="00BA76C2" w:rsidRDefault="00BA76C2" w:rsidP="00BA76C2">
      <w:pPr>
        <w:spacing w:line="360" w:lineRule="auto"/>
        <w:jc w:val="both"/>
        <w:rPr>
          <w:sz w:val="24"/>
        </w:rPr>
      </w:pPr>
      <w:r w:rsidRPr="00BA76C2">
        <w:rPr>
          <w:sz w:val="24"/>
        </w:rPr>
        <w:t>Implement market-specific strategies:</w:t>
      </w:r>
    </w:p>
    <w:p w14:paraId="14DBBA49" w14:textId="77777777" w:rsidR="00BA76C2" w:rsidRPr="00BA76C2" w:rsidRDefault="00BA76C2" w:rsidP="00BA76C2">
      <w:pPr>
        <w:numPr>
          <w:ilvl w:val="0"/>
          <w:numId w:val="25"/>
        </w:numPr>
        <w:spacing w:line="360" w:lineRule="auto"/>
        <w:jc w:val="both"/>
        <w:rPr>
          <w:sz w:val="24"/>
        </w:rPr>
      </w:pPr>
      <w:r w:rsidRPr="00BA76C2">
        <w:rPr>
          <w:b/>
          <w:bCs/>
          <w:sz w:val="24"/>
        </w:rPr>
        <w:t>Germany</w:t>
      </w:r>
      <w:r w:rsidRPr="00BA76C2">
        <w:rPr>
          <w:sz w:val="24"/>
        </w:rPr>
        <w:t>: Expand private brand partnerships while strengthening distribution networks and marketing presence to reinforce market leadership.</w:t>
      </w:r>
    </w:p>
    <w:p w14:paraId="4C8640EF" w14:textId="77777777" w:rsidR="00BA76C2" w:rsidRPr="00BA76C2" w:rsidRDefault="00BA76C2" w:rsidP="00BA76C2">
      <w:pPr>
        <w:numPr>
          <w:ilvl w:val="0"/>
          <w:numId w:val="25"/>
        </w:numPr>
        <w:spacing w:line="360" w:lineRule="auto"/>
        <w:jc w:val="both"/>
        <w:rPr>
          <w:sz w:val="24"/>
        </w:rPr>
      </w:pPr>
      <w:r w:rsidRPr="00BA76C2">
        <w:rPr>
          <w:b/>
          <w:bCs/>
          <w:sz w:val="24"/>
        </w:rPr>
        <w:t xml:space="preserve">UK: </w:t>
      </w:r>
      <w:r w:rsidRPr="00BA76C2">
        <w:rPr>
          <w:sz w:val="24"/>
        </w:rPr>
        <w:t>Analyze success drivers and replicate effective strategies across markets while pursuing growth initiatives to narrow the gap with Germany.</w:t>
      </w:r>
    </w:p>
    <w:p w14:paraId="5575F66D" w14:textId="77777777" w:rsidR="00BA76C2" w:rsidRPr="00BA76C2" w:rsidRDefault="00BA76C2" w:rsidP="00BA76C2">
      <w:pPr>
        <w:numPr>
          <w:ilvl w:val="0"/>
          <w:numId w:val="25"/>
        </w:numPr>
        <w:spacing w:line="360" w:lineRule="auto"/>
        <w:jc w:val="both"/>
        <w:rPr>
          <w:sz w:val="24"/>
        </w:rPr>
      </w:pPr>
      <w:r w:rsidRPr="00BA76C2">
        <w:rPr>
          <w:b/>
          <w:bCs/>
          <w:sz w:val="24"/>
        </w:rPr>
        <w:t>France:</w:t>
      </w:r>
      <w:r w:rsidRPr="00BA76C2">
        <w:rPr>
          <w:sz w:val="24"/>
        </w:rPr>
        <w:t xml:space="preserve"> Launch comprehensive market research to identify growth barriers and adjust product mix, pricing strategy, and distribution channels accordingly.</w:t>
      </w:r>
    </w:p>
    <w:p w14:paraId="6FA7ED6A" w14:textId="77777777" w:rsidR="00BA76C2" w:rsidRDefault="00BA76C2" w:rsidP="007D5A25">
      <w:pPr>
        <w:pStyle w:val="Heading3"/>
      </w:pPr>
      <w:bookmarkStart w:id="30" w:name="_Toc189824327"/>
      <w:r w:rsidRPr="00BA76C2">
        <w:t>Operational Excellence</w:t>
      </w:r>
      <w:bookmarkEnd w:id="30"/>
    </w:p>
    <w:p w14:paraId="297B9921" w14:textId="1B6DECEC" w:rsidR="00BA76C2" w:rsidRPr="00BA76C2" w:rsidRDefault="003D1B77" w:rsidP="00BA76C2">
      <w:pPr>
        <w:spacing w:line="360" w:lineRule="auto"/>
        <w:jc w:val="both"/>
        <w:rPr>
          <w:sz w:val="24"/>
        </w:rPr>
      </w:pPr>
      <w:r w:rsidRPr="003D1B77">
        <w:rPr>
          <w:sz w:val="24"/>
        </w:rPr>
        <w:t xml:space="preserve"> The company should expand private brand collaboration programs across different markets following the proven German model. The organization will benefit from this method by using resources more efficiently to produce additional profitable product lines</w:t>
      </w:r>
      <w:r w:rsidR="00BA76C2" w:rsidRPr="00BA76C2">
        <w:rPr>
          <w:sz w:val="24"/>
        </w:rPr>
        <w:t>.</w:t>
      </w:r>
    </w:p>
    <w:p w14:paraId="31CD3C63" w14:textId="77777777" w:rsidR="00BA76C2" w:rsidRDefault="00BA76C2" w:rsidP="007D5A25">
      <w:pPr>
        <w:pStyle w:val="Heading3"/>
      </w:pPr>
      <w:bookmarkStart w:id="31" w:name="_Toc189824328"/>
      <w:r w:rsidRPr="00BA76C2">
        <w:t>Analytics and Technology</w:t>
      </w:r>
      <w:bookmarkEnd w:id="31"/>
    </w:p>
    <w:p w14:paraId="05AE3F30" w14:textId="1B96B544" w:rsidR="00BA76C2" w:rsidRPr="00BA76C2" w:rsidRDefault="003D1B77" w:rsidP="00BA76C2">
      <w:pPr>
        <w:spacing w:line="360" w:lineRule="auto"/>
        <w:jc w:val="both"/>
        <w:rPr>
          <w:sz w:val="24"/>
        </w:rPr>
      </w:pPr>
      <w:r w:rsidRPr="003D1B77">
        <w:rPr>
          <w:sz w:val="24"/>
        </w:rPr>
        <w:t xml:space="preserve"> The company should speed up its investment in advanced analytics solutions to improve its understanding of consumer behavior and market trends and performance measurements (Aghaei et al., 2025). The approach enables quick analytical decisions together with rapid opportunity detection</w:t>
      </w:r>
      <w:r w:rsidR="00BA76C2" w:rsidRPr="00BA76C2">
        <w:rPr>
          <w:sz w:val="24"/>
        </w:rPr>
        <w:t>.</w:t>
      </w:r>
    </w:p>
    <w:p w14:paraId="54DF348B" w14:textId="77777777" w:rsidR="00BA76C2" w:rsidRDefault="00BA76C2" w:rsidP="007D5A25">
      <w:pPr>
        <w:pStyle w:val="Heading3"/>
      </w:pPr>
      <w:bookmarkStart w:id="32" w:name="_Toc189824329"/>
      <w:r w:rsidRPr="00BA76C2">
        <w:t>Sustainability Leadership</w:t>
      </w:r>
      <w:bookmarkEnd w:id="32"/>
    </w:p>
    <w:p w14:paraId="08BAD0C2" w14:textId="169DFC7D" w:rsidR="00BA76C2" w:rsidRPr="00BA76C2" w:rsidRDefault="003D1B77" w:rsidP="00BA76C2">
      <w:pPr>
        <w:spacing w:line="360" w:lineRule="auto"/>
        <w:jc w:val="both"/>
        <w:rPr>
          <w:sz w:val="24"/>
        </w:rPr>
      </w:pPr>
      <w:r w:rsidRPr="003D1B77">
        <w:rPr>
          <w:sz w:val="24"/>
        </w:rPr>
        <w:t xml:space="preserve"> Companies should adopt sustainability principles for product creation and promotional strategies to match increasing customer interest in environmental protection (Boeske, 2023). The company should direct its sustainability initiatives toward the successful segments of outerwear and footwear products</w:t>
      </w:r>
      <w:r w:rsidR="00BA76C2" w:rsidRPr="00BA76C2">
        <w:rPr>
          <w:sz w:val="24"/>
        </w:rPr>
        <w:t>.</w:t>
      </w:r>
    </w:p>
    <w:p w14:paraId="071414BB" w14:textId="77777777" w:rsidR="00BA76C2" w:rsidRDefault="00BA76C2" w:rsidP="007D5A25">
      <w:pPr>
        <w:pStyle w:val="Heading3"/>
      </w:pPr>
      <w:bookmarkStart w:id="33" w:name="_Toc189824330"/>
      <w:r w:rsidRPr="00BA76C2">
        <w:t>Performance Monitoring</w:t>
      </w:r>
      <w:bookmarkEnd w:id="33"/>
    </w:p>
    <w:p w14:paraId="01E75E6C" w14:textId="18C4A14D" w:rsidR="00BA76C2" w:rsidRPr="00BA76C2" w:rsidRDefault="003D1B77" w:rsidP="00BA76C2">
      <w:pPr>
        <w:spacing w:line="360" w:lineRule="auto"/>
        <w:jc w:val="both"/>
        <w:rPr>
          <w:sz w:val="24"/>
        </w:rPr>
      </w:pPr>
      <w:r w:rsidRPr="003D1B77">
        <w:rPr>
          <w:sz w:val="24"/>
        </w:rPr>
        <w:t xml:space="preserve"> Conduct organized performance assessments of markets together with categories to adapt strategic approaches and budget resources according to alterations in market dynamics and consumer tastes</w:t>
      </w:r>
      <w:r w:rsidR="00BA76C2" w:rsidRPr="00BA76C2">
        <w:rPr>
          <w:sz w:val="24"/>
        </w:rPr>
        <w:t>.</w:t>
      </w:r>
    </w:p>
    <w:p w14:paraId="68BF309F" w14:textId="77777777" w:rsidR="00BA76C2" w:rsidRPr="00027C8E" w:rsidRDefault="00BA76C2" w:rsidP="00027C8E">
      <w:pPr>
        <w:spacing w:line="360" w:lineRule="auto"/>
        <w:jc w:val="both"/>
        <w:rPr>
          <w:sz w:val="24"/>
        </w:rPr>
      </w:pPr>
    </w:p>
    <w:p w14:paraId="0884F616" w14:textId="77777777" w:rsidR="002B5E9E" w:rsidRDefault="002B5E9E" w:rsidP="002B5E9E">
      <w:pPr>
        <w:rPr>
          <w:sz w:val="24"/>
        </w:rPr>
      </w:pPr>
    </w:p>
    <w:p w14:paraId="234A63ED" w14:textId="77777777" w:rsidR="00252E86" w:rsidRDefault="00252E86" w:rsidP="002B5E9E">
      <w:pPr>
        <w:rPr>
          <w:sz w:val="24"/>
        </w:rPr>
      </w:pPr>
    </w:p>
    <w:p w14:paraId="058E8DCD" w14:textId="77777777" w:rsidR="002B5E9E" w:rsidRPr="00B875DB" w:rsidRDefault="002B5E9E" w:rsidP="00B875DB">
      <w:pPr>
        <w:pStyle w:val="Heading1"/>
        <w:rPr>
          <w:rFonts w:cstheme="minorHAnsi"/>
          <w:b w:val="0"/>
        </w:rPr>
      </w:pPr>
      <w:bookmarkStart w:id="34" w:name="_Toc189824331"/>
      <w:r w:rsidRPr="00B875DB">
        <w:rPr>
          <w:rFonts w:cstheme="minorHAnsi"/>
        </w:rPr>
        <w:t>References</w:t>
      </w:r>
      <w:bookmarkEnd w:id="34"/>
    </w:p>
    <w:p w14:paraId="41E79C35" w14:textId="77777777" w:rsidR="00446F8F" w:rsidRPr="00446F8F" w:rsidRDefault="00446F8F" w:rsidP="00446F8F">
      <w:pPr>
        <w:widowControl w:val="0"/>
        <w:autoSpaceDE w:val="0"/>
        <w:autoSpaceDN w:val="0"/>
        <w:adjustRightInd w:val="0"/>
        <w:spacing w:after="240" w:line="360" w:lineRule="auto"/>
        <w:rPr>
          <w:rFonts w:eastAsia="Times New Roman" w:cstheme="minorHAnsi"/>
          <w:sz w:val="24"/>
          <w:szCs w:val="24"/>
          <w14:ligatures w14:val="standardContextual"/>
        </w:rPr>
      </w:pPr>
      <w:r w:rsidRPr="00446F8F">
        <w:rPr>
          <w:rFonts w:eastAsia="Times New Roman" w:cstheme="minorHAnsi"/>
          <w:sz w:val="24"/>
          <w:szCs w:val="24"/>
          <w14:ligatures w14:val="standardContextual"/>
        </w:rPr>
        <w:t xml:space="preserve">Aghaei, R., Kiaei, A.A., Boush, M., Vahidi, J., Zavvar, M., Barzegar, Z. and Rofoosheh, M. (2025). </w:t>
      </w:r>
      <w:r w:rsidRPr="00BD3282">
        <w:rPr>
          <w:rFonts w:eastAsia="Times New Roman" w:cstheme="minorHAnsi"/>
          <w:sz w:val="24"/>
          <w:szCs w:val="24"/>
          <w14:ligatures w14:val="standardContextual"/>
        </w:rPr>
        <w:t>Harnessing the Potential of Large Language Models in Modern Marketing Management</w:t>
      </w:r>
      <w:r w:rsidRPr="00446F8F">
        <w:rPr>
          <w:rFonts w:eastAsia="Times New Roman" w:cstheme="minorHAnsi"/>
          <w:i/>
          <w:iCs/>
          <w:sz w:val="24"/>
          <w:szCs w:val="24"/>
          <w14:ligatures w14:val="standardContextual"/>
        </w:rPr>
        <w:t xml:space="preserve">: </w:t>
      </w:r>
      <w:r w:rsidRPr="00BD3282">
        <w:rPr>
          <w:rFonts w:eastAsia="Times New Roman" w:cstheme="minorHAnsi"/>
          <w:sz w:val="24"/>
          <w:szCs w:val="24"/>
          <w14:ligatures w14:val="standardContextual"/>
        </w:rPr>
        <w:t>Applications, Future Directions, and Strategic Recommendations</w:t>
      </w:r>
      <w:r w:rsidRPr="00446F8F">
        <w:rPr>
          <w:rFonts w:eastAsia="Times New Roman" w:cstheme="minorHAnsi"/>
          <w:sz w:val="24"/>
          <w:szCs w:val="24"/>
          <w14:ligatures w14:val="standardContextual"/>
        </w:rPr>
        <w:t xml:space="preserve">. [online] arXiv.org. Available at: </w:t>
      </w:r>
      <w:hyperlink r:id="rId14" w:history="1">
        <w:r w:rsidRPr="00446F8F">
          <w:rPr>
            <w:rFonts w:eastAsia="Times New Roman" w:cstheme="minorHAnsi"/>
            <w:sz w:val="24"/>
            <w:szCs w:val="24"/>
            <w14:ligatures w14:val="standardContextual"/>
          </w:rPr>
          <w:t>https://arxiv.org/abs/2501.10685</w:t>
        </w:r>
      </w:hyperlink>
      <w:r w:rsidRPr="00446F8F">
        <w:rPr>
          <w:rFonts w:eastAsia="Times New Roman" w:cstheme="minorHAnsi"/>
          <w:sz w:val="24"/>
          <w:szCs w:val="24"/>
          <w14:ligatures w14:val="standardContextual"/>
        </w:rPr>
        <w:t xml:space="preserve"> [Accessed 6 Feb. 2025].</w:t>
      </w:r>
    </w:p>
    <w:p w14:paraId="6D607B96" w14:textId="77777777" w:rsidR="00446F8F" w:rsidRPr="00446F8F" w:rsidRDefault="00446F8F" w:rsidP="00446F8F">
      <w:pPr>
        <w:widowControl w:val="0"/>
        <w:autoSpaceDE w:val="0"/>
        <w:autoSpaceDN w:val="0"/>
        <w:adjustRightInd w:val="0"/>
        <w:spacing w:after="240" w:line="360" w:lineRule="auto"/>
        <w:rPr>
          <w:rFonts w:eastAsia="Times New Roman" w:cstheme="minorHAnsi"/>
          <w:sz w:val="24"/>
          <w:szCs w:val="24"/>
          <w14:ligatures w14:val="standardContextual"/>
        </w:rPr>
      </w:pPr>
      <w:r w:rsidRPr="00446F8F">
        <w:rPr>
          <w:rFonts w:eastAsia="Times New Roman" w:cstheme="minorHAnsi"/>
          <w:sz w:val="24"/>
          <w:szCs w:val="24"/>
          <w14:ligatures w14:val="standardContextual"/>
        </w:rPr>
        <w:t xml:space="preserve">Boeske, J. (2023). Leadership towards Sustainability: A Review of Sustainable, Sustainability, and Environmental Leadership. </w:t>
      </w:r>
      <w:r w:rsidRPr="00BD3282">
        <w:rPr>
          <w:rFonts w:eastAsia="Times New Roman" w:cstheme="minorHAnsi"/>
          <w:sz w:val="24"/>
          <w:szCs w:val="24"/>
          <w14:ligatures w14:val="standardContextual"/>
        </w:rPr>
        <w:t>Sustainability</w:t>
      </w:r>
      <w:r w:rsidRPr="00446F8F">
        <w:rPr>
          <w:rFonts w:eastAsia="Times New Roman" w:cstheme="minorHAnsi"/>
          <w:sz w:val="24"/>
          <w:szCs w:val="24"/>
          <w14:ligatures w14:val="standardContextual"/>
        </w:rPr>
        <w:t>, 15(16), p.12626. doi:</w:t>
      </w:r>
      <w:hyperlink r:id="rId15" w:history="1">
        <w:r w:rsidRPr="00446F8F">
          <w:rPr>
            <w:rFonts w:eastAsia="Times New Roman" w:cstheme="minorHAnsi"/>
            <w:sz w:val="24"/>
            <w:szCs w:val="24"/>
            <w14:ligatures w14:val="standardContextual"/>
          </w:rPr>
          <w:t>https://doi.org/10.3390/su151612626</w:t>
        </w:r>
      </w:hyperlink>
      <w:r w:rsidRPr="00446F8F">
        <w:rPr>
          <w:rFonts w:eastAsia="Times New Roman" w:cstheme="minorHAnsi"/>
          <w:sz w:val="24"/>
          <w:szCs w:val="24"/>
          <w14:ligatures w14:val="standardContextual"/>
        </w:rPr>
        <w:t>.</w:t>
      </w:r>
    </w:p>
    <w:p w14:paraId="29721DA2" w14:textId="77777777" w:rsidR="00446F8F" w:rsidRPr="00446F8F" w:rsidRDefault="00446F8F" w:rsidP="00446F8F">
      <w:pPr>
        <w:widowControl w:val="0"/>
        <w:autoSpaceDE w:val="0"/>
        <w:autoSpaceDN w:val="0"/>
        <w:adjustRightInd w:val="0"/>
        <w:spacing w:after="240" w:line="360" w:lineRule="auto"/>
        <w:rPr>
          <w:rFonts w:eastAsia="Times New Roman" w:cstheme="minorHAnsi"/>
          <w:sz w:val="24"/>
          <w:szCs w:val="24"/>
          <w14:ligatures w14:val="standardContextual"/>
        </w:rPr>
      </w:pPr>
      <w:r w:rsidRPr="00446F8F">
        <w:rPr>
          <w:rFonts w:eastAsia="Times New Roman" w:cstheme="minorHAnsi"/>
          <w:sz w:val="24"/>
          <w:szCs w:val="24"/>
          <w14:ligatures w14:val="standardContextual"/>
        </w:rPr>
        <w:t xml:space="preserve">Farris, P.W., Hanssens, D.M., Lenskold, J.D. and Reibstein, D.J. (2015). </w:t>
      </w:r>
      <w:r w:rsidRPr="00BD3282">
        <w:rPr>
          <w:rFonts w:eastAsia="Times New Roman" w:cstheme="minorHAnsi"/>
          <w:sz w:val="24"/>
          <w:szCs w:val="24"/>
          <w14:ligatures w14:val="standardContextual"/>
        </w:rPr>
        <w:t>Marketing return on</w:t>
      </w:r>
      <w:r w:rsidRPr="00446F8F">
        <w:rPr>
          <w:rFonts w:eastAsia="Times New Roman" w:cstheme="minorHAnsi"/>
          <w:i/>
          <w:iCs/>
          <w:sz w:val="24"/>
          <w:szCs w:val="24"/>
          <w14:ligatures w14:val="standardContextual"/>
        </w:rPr>
        <w:t xml:space="preserve"> </w:t>
      </w:r>
      <w:r w:rsidRPr="00BD3282">
        <w:rPr>
          <w:rFonts w:eastAsia="Times New Roman" w:cstheme="minorHAnsi"/>
          <w:sz w:val="24"/>
          <w:szCs w:val="24"/>
          <w14:ligatures w14:val="standardContextual"/>
        </w:rPr>
        <w:t>investment: Seeking clarity for concept and measurement</w:t>
      </w:r>
      <w:r w:rsidRPr="00446F8F">
        <w:rPr>
          <w:rFonts w:eastAsia="Times New Roman" w:cstheme="minorHAnsi"/>
          <w:sz w:val="24"/>
          <w:szCs w:val="24"/>
          <w14:ligatures w14:val="standardContextual"/>
        </w:rPr>
        <w:t xml:space="preserve">. [online] www.ingentaconnect.com. Available at: </w:t>
      </w:r>
      <w:hyperlink r:id="rId16" w:history="1">
        <w:r w:rsidRPr="00446F8F">
          <w:rPr>
            <w:rFonts w:eastAsia="Times New Roman" w:cstheme="minorHAnsi"/>
            <w:sz w:val="24"/>
            <w:szCs w:val="24"/>
            <w14:ligatures w14:val="standardContextual"/>
          </w:rPr>
          <w:t>https://www.ingentaconnect.com/content/hsp/ama/2015/00000001/00000003/art00010</w:t>
        </w:r>
      </w:hyperlink>
      <w:r w:rsidRPr="00446F8F">
        <w:rPr>
          <w:rFonts w:eastAsia="Times New Roman" w:cstheme="minorHAnsi"/>
          <w:sz w:val="24"/>
          <w:szCs w:val="24"/>
          <w14:ligatures w14:val="standardContextual"/>
        </w:rPr>
        <w:t>.</w:t>
      </w:r>
    </w:p>
    <w:p w14:paraId="19E7984F" w14:textId="77777777" w:rsidR="00446F8F" w:rsidRPr="00446F8F" w:rsidRDefault="00446F8F" w:rsidP="00446F8F">
      <w:pPr>
        <w:widowControl w:val="0"/>
        <w:autoSpaceDE w:val="0"/>
        <w:autoSpaceDN w:val="0"/>
        <w:adjustRightInd w:val="0"/>
        <w:spacing w:after="240" w:line="360" w:lineRule="auto"/>
        <w:rPr>
          <w:rFonts w:eastAsia="Times New Roman" w:cstheme="minorHAnsi"/>
          <w:sz w:val="24"/>
          <w:szCs w:val="24"/>
          <w14:ligatures w14:val="standardContextual"/>
        </w:rPr>
      </w:pPr>
      <w:r w:rsidRPr="00446F8F">
        <w:rPr>
          <w:rFonts w:eastAsia="Times New Roman" w:cstheme="minorHAnsi"/>
          <w:sz w:val="24"/>
          <w:szCs w:val="24"/>
          <w14:ligatures w14:val="standardContextual"/>
        </w:rPr>
        <w:t xml:space="preserve">Gade, K.R. (2021). Data-Driven Decision Making in a Complex World. </w:t>
      </w:r>
      <w:r w:rsidRPr="00BD3282">
        <w:rPr>
          <w:rFonts w:eastAsia="Times New Roman" w:cstheme="minorHAnsi"/>
          <w:sz w:val="24"/>
          <w:szCs w:val="24"/>
          <w14:ligatures w14:val="standardContextual"/>
        </w:rPr>
        <w:t>Journal of Computational</w:t>
      </w:r>
      <w:r w:rsidRPr="00446F8F">
        <w:rPr>
          <w:rFonts w:eastAsia="Times New Roman" w:cstheme="minorHAnsi"/>
          <w:i/>
          <w:iCs/>
          <w:sz w:val="24"/>
          <w:szCs w:val="24"/>
          <w14:ligatures w14:val="standardContextual"/>
        </w:rPr>
        <w:t xml:space="preserve"> </w:t>
      </w:r>
      <w:r w:rsidRPr="00BD3282">
        <w:rPr>
          <w:rFonts w:eastAsia="Times New Roman" w:cstheme="minorHAnsi"/>
          <w:sz w:val="24"/>
          <w:szCs w:val="24"/>
          <w14:ligatures w14:val="standardContextual"/>
        </w:rPr>
        <w:t>Innovation</w:t>
      </w:r>
      <w:r w:rsidRPr="00446F8F">
        <w:rPr>
          <w:rFonts w:eastAsia="Times New Roman" w:cstheme="minorHAnsi"/>
          <w:sz w:val="24"/>
          <w:szCs w:val="24"/>
          <w14:ligatures w14:val="standardContextual"/>
        </w:rPr>
        <w:t xml:space="preserve">, [online] 1(1). Available at: </w:t>
      </w:r>
      <w:hyperlink r:id="rId17" w:history="1">
        <w:r w:rsidRPr="00446F8F">
          <w:rPr>
            <w:rFonts w:eastAsia="Times New Roman" w:cstheme="minorHAnsi"/>
            <w:sz w:val="24"/>
            <w:szCs w:val="24"/>
            <w14:ligatures w14:val="standardContextual"/>
          </w:rPr>
          <w:t>https://researchworkx.com/index.php/jci/article/view/2</w:t>
        </w:r>
      </w:hyperlink>
      <w:r w:rsidRPr="00446F8F">
        <w:rPr>
          <w:rFonts w:eastAsia="Times New Roman" w:cstheme="minorHAnsi"/>
          <w:sz w:val="24"/>
          <w:szCs w:val="24"/>
          <w14:ligatures w14:val="standardContextual"/>
        </w:rPr>
        <w:t>.</w:t>
      </w:r>
    </w:p>
    <w:p w14:paraId="64CADAF9" w14:textId="77777777" w:rsidR="00446F8F" w:rsidRPr="00446F8F" w:rsidRDefault="00446F8F" w:rsidP="00446F8F">
      <w:pPr>
        <w:widowControl w:val="0"/>
        <w:autoSpaceDE w:val="0"/>
        <w:autoSpaceDN w:val="0"/>
        <w:adjustRightInd w:val="0"/>
        <w:spacing w:after="240" w:line="360" w:lineRule="auto"/>
        <w:rPr>
          <w:rFonts w:eastAsia="Times New Roman" w:cstheme="minorHAnsi"/>
          <w:sz w:val="24"/>
          <w:szCs w:val="24"/>
          <w14:ligatures w14:val="standardContextual"/>
        </w:rPr>
      </w:pPr>
      <w:r w:rsidRPr="00446F8F">
        <w:rPr>
          <w:rFonts w:eastAsia="Times New Roman" w:cstheme="minorHAnsi"/>
          <w:sz w:val="24"/>
          <w:szCs w:val="24"/>
          <w14:ligatures w14:val="standardContextual"/>
        </w:rPr>
        <w:t xml:space="preserve">Koufteros, X.A., Vonderembse, M.A. and Doll, W.J. (2002). Integrated product development practices and competitive capabilities: the effects of uncertainty, equivocality, and platform strategy. </w:t>
      </w:r>
      <w:r w:rsidRPr="00BD3282">
        <w:rPr>
          <w:rFonts w:eastAsia="Times New Roman" w:cstheme="minorHAnsi"/>
          <w:sz w:val="24"/>
          <w:szCs w:val="24"/>
          <w14:ligatures w14:val="standardContextual"/>
        </w:rPr>
        <w:t>Journal of Operations Management</w:t>
      </w:r>
      <w:r w:rsidRPr="00446F8F">
        <w:rPr>
          <w:rFonts w:eastAsia="Times New Roman" w:cstheme="minorHAnsi"/>
          <w:sz w:val="24"/>
          <w:szCs w:val="24"/>
          <w14:ligatures w14:val="standardContextual"/>
        </w:rPr>
        <w:t>, 20(4), pp.331–355. doi:</w:t>
      </w:r>
      <w:hyperlink r:id="rId18" w:history="1">
        <w:r w:rsidRPr="00446F8F">
          <w:rPr>
            <w:rFonts w:eastAsia="Times New Roman" w:cstheme="minorHAnsi"/>
            <w:sz w:val="24"/>
            <w:szCs w:val="24"/>
            <w14:ligatures w14:val="standardContextual"/>
          </w:rPr>
          <w:t>https://doi.org/10.1016/s0272-6963(02)00018-9</w:t>
        </w:r>
      </w:hyperlink>
      <w:r w:rsidRPr="00446F8F">
        <w:rPr>
          <w:rFonts w:eastAsia="Times New Roman" w:cstheme="minorHAnsi"/>
          <w:sz w:val="24"/>
          <w:szCs w:val="24"/>
          <w14:ligatures w14:val="standardContextual"/>
        </w:rPr>
        <w:t>.</w:t>
      </w:r>
    </w:p>
    <w:p w14:paraId="553F7F36" w14:textId="77777777" w:rsidR="00446F8F" w:rsidRPr="00446F8F" w:rsidRDefault="00446F8F" w:rsidP="00446F8F">
      <w:pPr>
        <w:widowControl w:val="0"/>
        <w:autoSpaceDE w:val="0"/>
        <w:autoSpaceDN w:val="0"/>
        <w:adjustRightInd w:val="0"/>
        <w:spacing w:after="240" w:line="360" w:lineRule="auto"/>
        <w:rPr>
          <w:rFonts w:eastAsia="Times New Roman" w:cstheme="minorHAnsi"/>
          <w:sz w:val="24"/>
          <w:szCs w:val="24"/>
          <w14:ligatures w14:val="standardContextual"/>
        </w:rPr>
      </w:pPr>
      <w:r w:rsidRPr="00446F8F">
        <w:rPr>
          <w:rFonts w:eastAsia="Times New Roman" w:cstheme="minorHAnsi"/>
          <w:sz w:val="24"/>
          <w:szCs w:val="24"/>
          <w14:ligatures w14:val="standardContextual"/>
        </w:rPr>
        <w:t xml:space="preserve">Liu, H., Zhong, C., Alnusair, A. and Islam, S.R. (2021). FAIXID: A Framework for Enhancing AI Explainability of Intrusion Detection Results Using Data Cleaning Techniques. </w:t>
      </w:r>
      <w:r w:rsidRPr="00BD3282">
        <w:rPr>
          <w:rFonts w:eastAsia="Times New Roman" w:cstheme="minorHAnsi"/>
          <w:sz w:val="24"/>
          <w:szCs w:val="24"/>
          <w14:ligatures w14:val="standardContextual"/>
        </w:rPr>
        <w:t>Journal of</w:t>
      </w:r>
      <w:r w:rsidRPr="00446F8F">
        <w:rPr>
          <w:rFonts w:eastAsia="Times New Roman" w:cstheme="minorHAnsi"/>
          <w:i/>
          <w:iCs/>
          <w:sz w:val="24"/>
          <w:szCs w:val="24"/>
          <w14:ligatures w14:val="standardContextual"/>
        </w:rPr>
        <w:t xml:space="preserve"> </w:t>
      </w:r>
      <w:r w:rsidRPr="00BD3282">
        <w:rPr>
          <w:rFonts w:eastAsia="Times New Roman" w:cstheme="minorHAnsi"/>
          <w:sz w:val="24"/>
          <w:szCs w:val="24"/>
          <w14:ligatures w14:val="standardContextual"/>
        </w:rPr>
        <w:t>Network and Systems Management</w:t>
      </w:r>
      <w:r w:rsidRPr="00446F8F">
        <w:rPr>
          <w:rFonts w:eastAsia="Times New Roman" w:cstheme="minorHAnsi"/>
          <w:sz w:val="24"/>
          <w:szCs w:val="24"/>
          <w14:ligatures w14:val="standardContextual"/>
        </w:rPr>
        <w:t>, 29(4). doi:</w:t>
      </w:r>
      <w:hyperlink r:id="rId19" w:history="1">
        <w:r w:rsidRPr="00446F8F">
          <w:rPr>
            <w:rFonts w:eastAsia="Times New Roman" w:cstheme="minorHAnsi"/>
            <w:sz w:val="24"/>
            <w:szCs w:val="24"/>
            <w14:ligatures w14:val="standardContextual"/>
          </w:rPr>
          <w:t>https://doi.org/10.1007/s10922-021-09606-8</w:t>
        </w:r>
      </w:hyperlink>
      <w:r w:rsidRPr="00446F8F">
        <w:rPr>
          <w:rFonts w:eastAsia="Times New Roman" w:cstheme="minorHAnsi"/>
          <w:sz w:val="24"/>
          <w:szCs w:val="24"/>
          <w14:ligatures w14:val="standardContextual"/>
        </w:rPr>
        <w:t>.</w:t>
      </w:r>
    </w:p>
    <w:p w14:paraId="00002505" w14:textId="77777777" w:rsidR="00446F8F" w:rsidRPr="00446F8F" w:rsidRDefault="00446F8F" w:rsidP="00446F8F">
      <w:pPr>
        <w:widowControl w:val="0"/>
        <w:autoSpaceDE w:val="0"/>
        <w:autoSpaceDN w:val="0"/>
        <w:adjustRightInd w:val="0"/>
        <w:spacing w:after="240" w:line="360" w:lineRule="auto"/>
        <w:rPr>
          <w:rFonts w:eastAsia="Times New Roman" w:cstheme="minorHAnsi"/>
          <w:sz w:val="24"/>
          <w:szCs w:val="24"/>
          <w14:ligatures w14:val="standardContextual"/>
        </w:rPr>
      </w:pPr>
      <w:r w:rsidRPr="00446F8F">
        <w:rPr>
          <w:rFonts w:eastAsia="Times New Roman" w:cstheme="minorHAnsi"/>
          <w:sz w:val="24"/>
          <w:szCs w:val="24"/>
          <w14:ligatures w14:val="standardContextual"/>
        </w:rPr>
        <w:t xml:space="preserve">Peker, S. and Kart, Ö. (2023). Transactional data-based customer segmentation applying CRISP-DM methodology: A systematic review. </w:t>
      </w:r>
      <w:r w:rsidRPr="00BD3282">
        <w:rPr>
          <w:rFonts w:eastAsia="Times New Roman" w:cstheme="minorHAnsi"/>
          <w:sz w:val="24"/>
          <w:szCs w:val="24"/>
          <w14:ligatures w14:val="standardContextual"/>
        </w:rPr>
        <w:t>Journal of Data, Information and Management</w:t>
      </w:r>
      <w:r w:rsidRPr="00446F8F">
        <w:rPr>
          <w:rFonts w:eastAsia="Times New Roman" w:cstheme="minorHAnsi"/>
          <w:sz w:val="24"/>
          <w:szCs w:val="24"/>
          <w14:ligatures w14:val="standardContextual"/>
        </w:rPr>
        <w:t>. doi:</w:t>
      </w:r>
      <w:hyperlink r:id="rId20" w:history="1">
        <w:r w:rsidRPr="00446F8F">
          <w:rPr>
            <w:rFonts w:eastAsia="Times New Roman" w:cstheme="minorHAnsi"/>
            <w:sz w:val="24"/>
            <w:szCs w:val="24"/>
            <w14:ligatures w14:val="standardContextual"/>
          </w:rPr>
          <w:t>https://doi.org/10.1007/s42488-023-00085-x</w:t>
        </w:r>
      </w:hyperlink>
      <w:r w:rsidRPr="00446F8F">
        <w:rPr>
          <w:rFonts w:eastAsia="Times New Roman" w:cstheme="minorHAnsi"/>
          <w:sz w:val="24"/>
          <w:szCs w:val="24"/>
          <w14:ligatures w14:val="standardContextual"/>
        </w:rPr>
        <w:t>.</w:t>
      </w:r>
    </w:p>
    <w:p w14:paraId="2098E199" w14:textId="77777777" w:rsidR="00446F8F" w:rsidRPr="00446F8F" w:rsidRDefault="00446F8F" w:rsidP="00446F8F">
      <w:pPr>
        <w:widowControl w:val="0"/>
        <w:autoSpaceDE w:val="0"/>
        <w:autoSpaceDN w:val="0"/>
        <w:adjustRightInd w:val="0"/>
        <w:spacing w:after="240" w:line="360" w:lineRule="auto"/>
        <w:rPr>
          <w:rFonts w:eastAsia="Times New Roman" w:cstheme="minorHAnsi"/>
          <w:sz w:val="24"/>
          <w:szCs w:val="24"/>
          <w14:ligatures w14:val="standardContextual"/>
        </w:rPr>
      </w:pPr>
      <w:r w:rsidRPr="00446F8F">
        <w:rPr>
          <w:rFonts w:eastAsia="Times New Roman" w:cstheme="minorHAnsi"/>
          <w:sz w:val="24"/>
          <w:szCs w:val="24"/>
          <w14:ligatures w14:val="standardContextual"/>
        </w:rPr>
        <w:lastRenderedPageBreak/>
        <w:t xml:space="preserve">Prasad, A.N. (2024). Data Quality and Preprocessing. </w:t>
      </w:r>
      <w:r w:rsidRPr="00BD3282">
        <w:rPr>
          <w:rFonts w:eastAsia="Times New Roman" w:cstheme="minorHAnsi"/>
          <w:sz w:val="24"/>
          <w:szCs w:val="24"/>
          <w14:ligatures w14:val="standardContextual"/>
        </w:rPr>
        <w:t>Apress eBooks</w:t>
      </w:r>
      <w:r w:rsidRPr="00446F8F">
        <w:rPr>
          <w:rFonts w:eastAsia="Times New Roman" w:cstheme="minorHAnsi"/>
          <w:sz w:val="24"/>
          <w:szCs w:val="24"/>
          <w14:ligatures w14:val="standardContextual"/>
        </w:rPr>
        <w:t>, pp.109–223. doi:</w:t>
      </w:r>
      <w:hyperlink r:id="rId21" w:history="1">
        <w:r w:rsidRPr="00446F8F">
          <w:rPr>
            <w:rFonts w:eastAsia="Times New Roman" w:cstheme="minorHAnsi"/>
            <w:sz w:val="24"/>
            <w:szCs w:val="24"/>
            <w14:ligatures w14:val="standardContextual"/>
          </w:rPr>
          <w:t>https://doi.org/10.1007/979-8-8688-1023-7_3</w:t>
        </w:r>
      </w:hyperlink>
      <w:r w:rsidRPr="00446F8F">
        <w:rPr>
          <w:rFonts w:eastAsia="Times New Roman" w:cstheme="minorHAnsi"/>
          <w:sz w:val="24"/>
          <w:szCs w:val="24"/>
          <w14:ligatures w14:val="standardContextual"/>
        </w:rPr>
        <w:t>.</w:t>
      </w:r>
    </w:p>
    <w:p w14:paraId="24136794" w14:textId="77777777" w:rsidR="00446F8F" w:rsidRPr="00446F8F" w:rsidRDefault="00446F8F" w:rsidP="00446F8F">
      <w:pPr>
        <w:widowControl w:val="0"/>
        <w:autoSpaceDE w:val="0"/>
        <w:autoSpaceDN w:val="0"/>
        <w:adjustRightInd w:val="0"/>
        <w:spacing w:after="240" w:line="360" w:lineRule="auto"/>
        <w:rPr>
          <w:rFonts w:eastAsia="Times New Roman" w:cstheme="minorHAnsi"/>
          <w:sz w:val="24"/>
          <w:szCs w:val="24"/>
          <w14:ligatures w14:val="standardContextual"/>
        </w:rPr>
      </w:pPr>
      <w:r w:rsidRPr="00446F8F">
        <w:rPr>
          <w:rFonts w:eastAsia="Times New Roman" w:cstheme="minorHAnsi"/>
          <w:sz w:val="24"/>
          <w:szCs w:val="24"/>
          <w14:ligatures w14:val="standardContextual"/>
        </w:rPr>
        <w:t xml:space="preserve">Six, N., Herbaut, N. and Salinesi, C. (2022). Blockchain software patterns for the design of decentralized applications: A systematic literature review. </w:t>
      </w:r>
      <w:r w:rsidRPr="00BD3282">
        <w:rPr>
          <w:rFonts w:eastAsia="Times New Roman" w:cstheme="minorHAnsi"/>
          <w:sz w:val="24"/>
          <w:szCs w:val="24"/>
          <w14:ligatures w14:val="standardContextual"/>
        </w:rPr>
        <w:t>Blockchain: Research and Applications</w:t>
      </w:r>
      <w:r w:rsidRPr="00446F8F">
        <w:rPr>
          <w:rFonts w:eastAsia="Times New Roman" w:cstheme="minorHAnsi"/>
          <w:sz w:val="24"/>
          <w:szCs w:val="24"/>
          <w14:ligatures w14:val="standardContextual"/>
        </w:rPr>
        <w:t>, p.100061. doi:</w:t>
      </w:r>
      <w:hyperlink r:id="rId22" w:history="1">
        <w:r w:rsidRPr="00446F8F">
          <w:rPr>
            <w:rFonts w:eastAsia="Times New Roman" w:cstheme="minorHAnsi"/>
            <w:sz w:val="24"/>
            <w:szCs w:val="24"/>
            <w14:ligatures w14:val="standardContextual"/>
          </w:rPr>
          <w:t>https://doi.org/10.1016/j.bcra.2022.100061</w:t>
        </w:r>
      </w:hyperlink>
      <w:r w:rsidRPr="00446F8F">
        <w:rPr>
          <w:rFonts w:eastAsia="Times New Roman" w:cstheme="minorHAnsi"/>
          <w:sz w:val="24"/>
          <w:szCs w:val="24"/>
          <w14:ligatures w14:val="standardContextual"/>
        </w:rPr>
        <w:t>.</w:t>
      </w:r>
    </w:p>
    <w:p w14:paraId="1779547C" w14:textId="77777777" w:rsidR="00446F8F" w:rsidRPr="00446F8F" w:rsidRDefault="00446F8F" w:rsidP="00446F8F">
      <w:pPr>
        <w:widowControl w:val="0"/>
        <w:autoSpaceDE w:val="0"/>
        <w:autoSpaceDN w:val="0"/>
        <w:adjustRightInd w:val="0"/>
        <w:spacing w:after="240" w:line="360" w:lineRule="auto"/>
        <w:rPr>
          <w:rFonts w:eastAsia="Times New Roman" w:cstheme="minorHAnsi"/>
          <w:sz w:val="24"/>
          <w:szCs w:val="24"/>
          <w14:ligatures w14:val="standardContextual"/>
        </w:rPr>
      </w:pPr>
      <w:r w:rsidRPr="00446F8F">
        <w:rPr>
          <w:rFonts w:eastAsia="Times New Roman" w:cstheme="minorHAnsi"/>
          <w:sz w:val="24"/>
          <w:szCs w:val="24"/>
          <w14:ligatures w14:val="standardContextual"/>
        </w:rPr>
        <w:t xml:space="preserve">Teh, H.Y., Kempa-Liehr, A.W. and Wang, K.I-Kai. (2020). Sensor data quality: a systematic review. </w:t>
      </w:r>
      <w:r w:rsidRPr="00283D5F">
        <w:rPr>
          <w:rFonts w:eastAsia="Times New Roman" w:cstheme="minorHAnsi"/>
          <w:sz w:val="24"/>
          <w:szCs w:val="24"/>
          <w14:ligatures w14:val="standardContextual"/>
        </w:rPr>
        <w:t>Journal of Big Data</w:t>
      </w:r>
      <w:r w:rsidRPr="00446F8F">
        <w:rPr>
          <w:rFonts w:eastAsia="Times New Roman" w:cstheme="minorHAnsi"/>
          <w:sz w:val="24"/>
          <w:szCs w:val="24"/>
          <w14:ligatures w14:val="standardContextual"/>
        </w:rPr>
        <w:t>, 7(1). doi:</w:t>
      </w:r>
      <w:hyperlink r:id="rId23" w:history="1">
        <w:r w:rsidRPr="00446F8F">
          <w:rPr>
            <w:rFonts w:eastAsia="Times New Roman" w:cstheme="minorHAnsi"/>
            <w:sz w:val="24"/>
            <w:szCs w:val="24"/>
            <w14:ligatures w14:val="standardContextual"/>
          </w:rPr>
          <w:t>https://doi.org/10.1186/s40537-020-0285-1</w:t>
        </w:r>
      </w:hyperlink>
      <w:r w:rsidRPr="00446F8F">
        <w:rPr>
          <w:rFonts w:eastAsia="Times New Roman" w:cstheme="minorHAnsi"/>
          <w:sz w:val="24"/>
          <w:szCs w:val="24"/>
          <w14:ligatures w14:val="standardContextual"/>
        </w:rPr>
        <w:t>.</w:t>
      </w:r>
    </w:p>
    <w:p w14:paraId="24AAE9F9" w14:textId="77777777" w:rsidR="00446F8F" w:rsidRPr="00446F8F" w:rsidRDefault="00446F8F" w:rsidP="00446F8F">
      <w:pPr>
        <w:widowControl w:val="0"/>
        <w:autoSpaceDE w:val="0"/>
        <w:autoSpaceDN w:val="0"/>
        <w:adjustRightInd w:val="0"/>
        <w:spacing w:after="240" w:line="360" w:lineRule="auto"/>
        <w:rPr>
          <w:rFonts w:eastAsia="Times New Roman" w:cstheme="minorHAnsi"/>
          <w:sz w:val="24"/>
          <w:szCs w:val="24"/>
          <w14:ligatures w14:val="standardContextual"/>
        </w:rPr>
      </w:pPr>
      <w:r w:rsidRPr="00446F8F">
        <w:rPr>
          <w:rFonts w:eastAsia="Times New Roman" w:cstheme="minorHAnsi"/>
          <w:sz w:val="24"/>
          <w:szCs w:val="24"/>
          <w14:ligatures w14:val="standardContextual"/>
        </w:rPr>
        <w:t xml:space="preserve">Yeğin, T. and Ikram, M. (2022). Performance Evaluation of Green Furniture Brands in the Marketing 4.0 Period: An Integrated MCDM Approach. </w:t>
      </w:r>
      <w:r w:rsidRPr="00283D5F">
        <w:rPr>
          <w:rFonts w:eastAsia="Times New Roman" w:cstheme="minorHAnsi"/>
          <w:sz w:val="24"/>
          <w:szCs w:val="24"/>
          <w14:ligatures w14:val="standardContextual"/>
        </w:rPr>
        <w:t>Sustainability</w:t>
      </w:r>
      <w:r w:rsidRPr="00446F8F">
        <w:rPr>
          <w:rFonts w:eastAsia="Times New Roman" w:cstheme="minorHAnsi"/>
          <w:sz w:val="24"/>
          <w:szCs w:val="24"/>
          <w14:ligatures w14:val="standardContextual"/>
        </w:rPr>
        <w:t>, [online] 14(17), p.10644. doi:</w:t>
      </w:r>
      <w:hyperlink r:id="rId24" w:history="1">
        <w:r w:rsidRPr="00446F8F">
          <w:rPr>
            <w:rFonts w:eastAsia="Times New Roman" w:cstheme="minorHAnsi"/>
            <w:sz w:val="24"/>
            <w:szCs w:val="24"/>
            <w14:ligatures w14:val="standardContextual"/>
          </w:rPr>
          <w:t>https://doi.org/10.3390/su141710644</w:t>
        </w:r>
      </w:hyperlink>
      <w:r w:rsidRPr="00446F8F">
        <w:rPr>
          <w:rFonts w:eastAsia="Times New Roman" w:cstheme="minorHAnsi"/>
          <w:sz w:val="24"/>
          <w:szCs w:val="24"/>
          <w14:ligatures w14:val="standardContextual"/>
        </w:rPr>
        <w:t>.</w:t>
      </w:r>
    </w:p>
    <w:p w14:paraId="4BDEAF87" w14:textId="77777777" w:rsidR="00446F8F" w:rsidRPr="00446F8F" w:rsidRDefault="00446F8F" w:rsidP="00446F8F">
      <w:pPr>
        <w:widowControl w:val="0"/>
        <w:autoSpaceDE w:val="0"/>
        <w:autoSpaceDN w:val="0"/>
        <w:adjustRightInd w:val="0"/>
        <w:spacing w:after="240" w:line="360" w:lineRule="auto"/>
        <w:rPr>
          <w:rFonts w:eastAsia="Times New Roman" w:cstheme="minorHAnsi"/>
          <w:sz w:val="24"/>
          <w:szCs w:val="24"/>
          <w14:ligatures w14:val="standardContextual"/>
        </w:rPr>
      </w:pPr>
      <w:r w:rsidRPr="00446F8F">
        <w:rPr>
          <w:rFonts w:eastAsia="Times New Roman" w:cstheme="minorHAnsi"/>
          <w:sz w:val="24"/>
          <w:szCs w:val="24"/>
          <w14:ligatures w14:val="standardContextual"/>
        </w:rPr>
        <w:t xml:space="preserve">Zhang, T.J., Wang, D.T., Tse, C.H. and Tse, S.Y. (2024). Enhancing subsidiary innovation capability through customer involvement in new product development: A contingent knowledge source perspective. </w:t>
      </w:r>
      <w:r w:rsidRPr="00283D5F">
        <w:rPr>
          <w:rFonts w:eastAsia="Times New Roman" w:cstheme="minorHAnsi"/>
          <w:sz w:val="24"/>
          <w:szCs w:val="24"/>
          <w14:ligatures w14:val="standardContextual"/>
        </w:rPr>
        <w:t>Journal of Product Innovation Management</w:t>
      </w:r>
      <w:r w:rsidRPr="00446F8F">
        <w:rPr>
          <w:rFonts w:eastAsia="Times New Roman" w:cstheme="minorHAnsi"/>
          <w:sz w:val="24"/>
          <w:szCs w:val="24"/>
          <w14:ligatures w14:val="standardContextual"/>
        </w:rPr>
        <w:t>, [online] 41(1), pp.86–111. doi:</w:t>
      </w:r>
      <w:hyperlink r:id="rId25" w:history="1">
        <w:r w:rsidRPr="00446F8F">
          <w:rPr>
            <w:rFonts w:eastAsia="Times New Roman" w:cstheme="minorHAnsi"/>
            <w:sz w:val="24"/>
            <w:szCs w:val="24"/>
            <w14:ligatures w14:val="standardContextual"/>
          </w:rPr>
          <w:t>https://doi.org/10.1111/jpim.12700</w:t>
        </w:r>
      </w:hyperlink>
      <w:r w:rsidRPr="00446F8F">
        <w:rPr>
          <w:rFonts w:eastAsia="Times New Roman" w:cstheme="minorHAnsi"/>
          <w:sz w:val="24"/>
          <w:szCs w:val="24"/>
          <w14:ligatures w14:val="standardContextual"/>
        </w:rPr>
        <w:t>.</w:t>
      </w:r>
    </w:p>
    <w:p w14:paraId="102ABA5A" w14:textId="2955224A" w:rsidR="002B5E9E" w:rsidRPr="00252E86" w:rsidRDefault="002B5E9E" w:rsidP="00252E86">
      <w:pPr>
        <w:spacing w:line="360" w:lineRule="auto"/>
        <w:jc w:val="both"/>
        <w:rPr>
          <w:sz w:val="24"/>
        </w:rPr>
      </w:pPr>
    </w:p>
    <w:sectPr w:rsidR="002B5E9E" w:rsidRPr="00252E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56DF73" w14:textId="77777777" w:rsidR="004D5FBB" w:rsidRDefault="004D5FBB" w:rsidP="00027C8E">
      <w:pPr>
        <w:spacing w:after="0" w:line="240" w:lineRule="auto"/>
      </w:pPr>
      <w:r>
        <w:separator/>
      </w:r>
    </w:p>
  </w:endnote>
  <w:endnote w:type="continuationSeparator" w:id="0">
    <w:p w14:paraId="6E32FE1C" w14:textId="77777777" w:rsidR="004D5FBB" w:rsidRDefault="004D5FBB" w:rsidP="00027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49E7B1" w14:textId="77777777" w:rsidR="004D5FBB" w:rsidRDefault="004D5FBB" w:rsidP="00027C8E">
      <w:pPr>
        <w:spacing w:after="0" w:line="240" w:lineRule="auto"/>
      </w:pPr>
      <w:r>
        <w:separator/>
      </w:r>
    </w:p>
  </w:footnote>
  <w:footnote w:type="continuationSeparator" w:id="0">
    <w:p w14:paraId="42FAD835" w14:textId="77777777" w:rsidR="004D5FBB" w:rsidRDefault="004D5FBB" w:rsidP="00027C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B3CC6"/>
    <w:multiLevelType w:val="hybridMultilevel"/>
    <w:tmpl w:val="5AEA1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C17AA"/>
    <w:multiLevelType w:val="hybridMultilevel"/>
    <w:tmpl w:val="EF08A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7D7244"/>
    <w:multiLevelType w:val="multilevel"/>
    <w:tmpl w:val="F650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36A3A"/>
    <w:multiLevelType w:val="multilevel"/>
    <w:tmpl w:val="06960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A176DB"/>
    <w:multiLevelType w:val="multilevel"/>
    <w:tmpl w:val="10A26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11A33"/>
    <w:multiLevelType w:val="hybridMultilevel"/>
    <w:tmpl w:val="A7501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EF6BC0"/>
    <w:multiLevelType w:val="multilevel"/>
    <w:tmpl w:val="092E9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7D6DB3"/>
    <w:multiLevelType w:val="multilevel"/>
    <w:tmpl w:val="99AA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F16D38"/>
    <w:multiLevelType w:val="hybridMultilevel"/>
    <w:tmpl w:val="8C8EA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7A2A25"/>
    <w:multiLevelType w:val="hybridMultilevel"/>
    <w:tmpl w:val="BEFA3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393B78"/>
    <w:multiLevelType w:val="multilevel"/>
    <w:tmpl w:val="326E2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D070F9"/>
    <w:multiLevelType w:val="multilevel"/>
    <w:tmpl w:val="9B18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B52DDF"/>
    <w:multiLevelType w:val="hybridMultilevel"/>
    <w:tmpl w:val="1BFAB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40189E"/>
    <w:multiLevelType w:val="hybridMultilevel"/>
    <w:tmpl w:val="5A389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5D41E0"/>
    <w:multiLevelType w:val="hybridMultilevel"/>
    <w:tmpl w:val="D980B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3E2724"/>
    <w:multiLevelType w:val="hybridMultilevel"/>
    <w:tmpl w:val="6FDCD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B03D1E"/>
    <w:multiLevelType w:val="hybridMultilevel"/>
    <w:tmpl w:val="D3305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FF062F"/>
    <w:multiLevelType w:val="hybridMultilevel"/>
    <w:tmpl w:val="BF90A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F909FA"/>
    <w:multiLevelType w:val="hybridMultilevel"/>
    <w:tmpl w:val="C772E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2457FE"/>
    <w:multiLevelType w:val="multilevel"/>
    <w:tmpl w:val="07242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FA5CA5"/>
    <w:multiLevelType w:val="hybridMultilevel"/>
    <w:tmpl w:val="F1A25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A81B8D"/>
    <w:multiLevelType w:val="multilevel"/>
    <w:tmpl w:val="5D1C7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571802"/>
    <w:multiLevelType w:val="multilevel"/>
    <w:tmpl w:val="5D701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E42682"/>
    <w:multiLevelType w:val="hybridMultilevel"/>
    <w:tmpl w:val="F5AC5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9D2984"/>
    <w:multiLevelType w:val="hybridMultilevel"/>
    <w:tmpl w:val="F55E9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9847894">
    <w:abstractNumId w:val="5"/>
  </w:num>
  <w:num w:numId="2" w16cid:durableId="147332256">
    <w:abstractNumId w:val="16"/>
  </w:num>
  <w:num w:numId="3" w16cid:durableId="850294663">
    <w:abstractNumId w:val="8"/>
  </w:num>
  <w:num w:numId="4" w16cid:durableId="720985996">
    <w:abstractNumId w:val="17"/>
  </w:num>
  <w:num w:numId="5" w16cid:durableId="1466314835">
    <w:abstractNumId w:val="0"/>
  </w:num>
  <w:num w:numId="6" w16cid:durableId="1774324346">
    <w:abstractNumId w:val="20"/>
  </w:num>
  <w:num w:numId="7" w16cid:durableId="1458640746">
    <w:abstractNumId w:val="13"/>
  </w:num>
  <w:num w:numId="8" w16cid:durableId="118842288">
    <w:abstractNumId w:val="15"/>
  </w:num>
  <w:num w:numId="9" w16cid:durableId="718017262">
    <w:abstractNumId w:val="1"/>
  </w:num>
  <w:num w:numId="10" w16cid:durableId="1093673302">
    <w:abstractNumId w:val="23"/>
  </w:num>
  <w:num w:numId="11" w16cid:durableId="2033219060">
    <w:abstractNumId w:val="14"/>
  </w:num>
  <w:num w:numId="12" w16cid:durableId="248274018">
    <w:abstractNumId w:val="24"/>
  </w:num>
  <w:num w:numId="13" w16cid:durableId="1058166644">
    <w:abstractNumId w:val="9"/>
  </w:num>
  <w:num w:numId="14" w16cid:durableId="358239036">
    <w:abstractNumId w:val="12"/>
  </w:num>
  <w:num w:numId="15" w16cid:durableId="835658031">
    <w:abstractNumId w:val="18"/>
  </w:num>
  <w:num w:numId="16" w16cid:durableId="1650400697">
    <w:abstractNumId w:val="21"/>
  </w:num>
  <w:num w:numId="17" w16cid:durableId="689647105">
    <w:abstractNumId w:val="19"/>
  </w:num>
  <w:num w:numId="18" w16cid:durableId="389958261">
    <w:abstractNumId w:val="7"/>
  </w:num>
  <w:num w:numId="19" w16cid:durableId="1709404132">
    <w:abstractNumId w:val="6"/>
  </w:num>
  <w:num w:numId="20" w16cid:durableId="1083339431">
    <w:abstractNumId w:val="11"/>
  </w:num>
  <w:num w:numId="21" w16cid:durableId="806163859">
    <w:abstractNumId w:val="10"/>
  </w:num>
  <w:num w:numId="22" w16cid:durableId="1786535513">
    <w:abstractNumId w:val="2"/>
  </w:num>
  <w:num w:numId="23" w16cid:durableId="101196421">
    <w:abstractNumId w:val="3"/>
  </w:num>
  <w:num w:numId="24" w16cid:durableId="787042498">
    <w:abstractNumId w:val="4"/>
  </w:num>
  <w:num w:numId="25" w16cid:durableId="72464840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64A"/>
    <w:rsid w:val="00004F92"/>
    <w:rsid w:val="00010C4C"/>
    <w:rsid w:val="00027C8E"/>
    <w:rsid w:val="000A09BA"/>
    <w:rsid w:val="001A0DFA"/>
    <w:rsid w:val="0023375A"/>
    <w:rsid w:val="00252E86"/>
    <w:rsid w:val="002716C0"/>
    <w:rsid w:val="0027364A"/>
    <w:rsid w:val="00283D5F"/>
    <w:rsid w:val="0029199F"/>
    <w:rsid w:val="00293E5C"/>
    <w:rsid w:val="002B5E9E"/>
    <w:rsid w:val="002E139F"/>
    <w:rsid w:val="00325D0E"/>
    <w:rsid w:val="003449A5"/>
    <w:rsid w:val="00392254"/>
    <w:rsid w:val="003A3321"/>
    <w:rsid w:val="003D1B77"/>
    <w:rsid w:val="00446F8F"/>
    <w:rsid w:val="004810F8"/>
    <w:rsid w:val="00484D29"/>
    <w:rsid w:val="004D398F"/>
    <w:rsid w:val="004D5FBB"/>
    <w:rsid w:val="00540B2A"/>
    <w:rsid w:val="0056404A"/>
    <w:rsid w:val="005832EB"/>
    <w:rsid w:val="005A787A"/>
    <w:rsid w:val="005D55EB"/>
    <w:rsid w:val="005E0A29"/>
    <w:rsid w:val="00606339"/>
    <w:rsid w:val="00623847"/>
    <w:rsid w:val="006433B8"/>
    <w:rsid w:val="006932A8"/>
    <w:rsid w:val="006E165B"/>
    <w:rsid w:val="006F6D6E"/>
    <w:rsid w:val="00731D1B"/>
    <w:rsid w:val="007D5A25"/>
    <w:rsid w:val="007F39E5"/>
    <w:rsid w:val="008319F0"/>
    <w:rsid w:val="008524E8"/>
    <w:rsid w:val="008C5FE6"/>
    <w:rsid w:val="008E79B0"/>
    <w:rsid w:val="009121A3"/>
    <w:rsid w:val="00956DD2"/>
    <w:rsid w:val="009637D7"/>
    <w:rsid w:val="009A0A96"/>
    <w:rsid w:val="009E191B"/>
    <w:rsid w:val="009E6FE9"/>
    <w:rsid w:val="00A27C6F"/>
    <w:rsid w:val="00A72740"/>
    <w:rsid w:val="00AA0BB1"/>
    <w:rsid w:val="00B875DB"/>
    <w:rsid w:val="00BA76C2"/>
    <w:rsid w:val="00BD3282"/>
    <w:rsid w:val="00BD4DBF"/>
    <w:rsid w:val="00C2439B"/>
    <w:rsid w:val="00C56CE8"/>
    <w:rsid w:val="00C67EF9"/>
    <w:rsid w:val="00C87B3C"/>
    <w:rsid w:val="00C92010"/>
    <w:rsid w:val="00D45616"/>
    <w:rsid w:val="00D57029"/>
    <w:rsid w:val="00DB560E"/>
    <w:rsid w:val="00E61167"/>
    <w:rsid w:val="00E94235"/>
    <w:rsid w:val="00EB1452"/>
    <w:rsid w:val="00EB4FBA"/>
    <w:rsid w:val="00EB5FE0"/>
    <w:rsid w:val="00F5234B"/>
    <w:rsid w:val="00FF0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6A2201"/>
  <w15:chartTrackingRefBased/>
  <w15:docId w15:val="{5348B0DD-EABA-4394-834D-A2F7E98A5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A25"/>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D5A25"/>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7D5A25"/>
    <w:pPr>
      <w:keepNext/>
      <w:keepLines/>
      <w:spacing w:before="40" w:after="0"/>
      <w:outlineLvl w:val="2"/>
    </w:pPr>
    <w:rPr>
      <w:rFonts w:eastAsiaTheme="majorEastAsia"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A25"/>
    <w:rPr>
      <w:rFonts w:eastAsiaTheme="majorEastAsia" w:cstheme="majorBidi"/>
      <w:b/>
      <w:color w:val="000000" w:themeColor="text1"/>
      <w:sz w:val="32"/>
      <w:szCs w:val="32"/>
    </w:rPr>
  </w:style>
  <w:style w:type="character" w:customStyle="1" w:styleId="Heading2Char">
    <w:name w:val="Heading 2 Char"/>
    <w:basedOn w:val="DefaultParagraphFont"/>
    <w:link w:val="Heading2"/>
    <w:uiPriority w:val="9"/>
    <w:rsid w:val="007D5A25"/>
    <w:rPr>
      <w:rFonts w:eastAsiaTheme="majorEastAsia" w:cstheme="majorBidi"/>
      <w:b/>
      <w:color w:val="000000" w:themeColor="text1"/>
      <w:sz w:val="28"/>
      <w:szCs w:val="26"/>
    </w:rPr>
  </w:style>
  <w:style w:type="character" w:customStyle="1" w:styleId="Heading3Char">
    <w:name w:val="Heading 3 Char"/>
    <w:basedOn w:val="DefaultParagraphFont"/>
    <w:link w:val="Heading3"/>
    <w:uiPriority w:val="9"/>
    <w:rsid w:val="007D5A25"/>
    <w:rPr>
      <w:rFonts w:eastAsiaTheme="majorEastAsia" w:cstheme="majorBidi"/>
      <w:b/>
      <w:color w:val="000000" w:themeColor="text1"/>
      <w:sz w:val="24"/>
      <w:szCs w:val="24"/>
    </w:rPr>
  </w:style>
  <w:style w:type="paragraph" w:styleId="ListParagraph">
    <w:name w:val="List Paragraph"/>
    <w:basedOn w:val="Normal"/>
    <w:uiPriority w:val="34"/>
    <w:qFormat/>
    <w:rsid w:val="009121A3"/>
    <w:pPr>
      <w:ind w:left="720"/>
      <w:contextualSpacing/>
    </w:pPr>
  </w:style>
  <w:style w:type="paragraph" w:styleId="Header">
    <w:name w:val="header"/>
    <w:basedOn w:val="Normal"/>
    <w:link w:val="HeaderChar"/>
    <w:uiPriority w:val="99"/>
    <w:unhideWhenUsed/>
    <w:rsid w:val="00027C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C8E"/>
  </w:style>
  <w:style w:type="paragraph" w:styleId="Footer">
    <w:name w:val="footer"/>
    <w:basedOn w:val="Normal"/>
    <w:link w:val="FooterChar"/>
    <w:uiPriority w:val="99"/>
    <w:unhideWhenUsed/>
    <w:rsid w:val="00027C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C8E"/>
  </w:style>
  <w:style w:type="paragraph" w:styleId="TOCHeading">
    <w:name w:val="TOC Heading"/>
    <w:basedOn w:val="Heading1"/>
    <w:next w:val="Normal"/>
    <w:uiPriority w:val="39"/>
    <w:unhideWhenUsed/>
    <w:qFormat/>
    <w:rsid w:val="00B875DB"/>
    <w:pPr>
      <w:outlineLvl w:val="9"/>
    </w:pPr>
  </w:style>
  <w:style w:type="paragraph" w:styleId="TOC1">
    <w:name w:val="toc 1"/>
    <w:basedOn w:val="Normal"/>
    <w:next w:val="Normal"/>
    <w:autoRedefine/>
    <w:uiPriority w:val="39"/>
    <w:unhideWhenUsed/>
    <w:rsid w:val="00B875DB"/>
    <w:pPr>
      <w:spacing w:after="100"/>
    </w:pPr>
  </w:style>
  <w:style w:type="paragraph" w:styleId="TOC2">
    <w:name w:val="toc 2"/>
    <w:basedOn w:val="Normal"/>
    <w:next w:val="Normal"/>
    <w:autoRedefine/>
    <w:uiPriority w:val="39"/>
    <w:unhideWhenUsed/>
    <w:rsid w:val="00B875DB"/>
    <w:pPr>
      <w:spacing w:after="100"/>
      <w:ind w:left="220"/>
    </w:pPr>
  </w:style>
  <w:style w:type="paragraph" w:styleId="TOC3">
    <w:name w:val="toc 3"/>
    <w:basedOn w:val="Normal"/>
    <w:next w:val="Normal"/>
    <w:autoRedefine/>
    <w:uiPriority w:val="39"/>
    <w:unhideWhenUsed/>
    <w:rsid w:val="00B875DB"/>
    <w:pPr>
      <w:spacing w:after="100"/>
      <w:ind w:left="440"/>
    </w:pPr>
  </w:style>
  <w:style w:type="character" w:styleId="Hyperlink">
    <w:name w:val="Hyperlink"/>
    <w:basedOn w:val="DefaultParagraphFont"/>
    <w:uiPriority w:val="99"/>
    <w:unhideWhenUsed/>
    <w:rsid w:val="00B875DB"/>
    <w:rPr>
      <w:color w:val="0563C1" w:themeColor="hyperlink"/>
      <w:u w:val="single"/>
    </w:rPr>
  </w:style>
  <w:style w:type="table" w:styleId="TableGrid">
    <w:name w:val="Table Grid"/>
    <w:basedOn w:val="TableNormal"/>
    <w:uiPriority w:val="39"/>
    <w:rsid w:val="006F6D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5D55EB"/>
    <w:pPr>
      <w:spacing w:after="0" w:line="240" w:lineRule="auto"/>
    </w:pPr>
    <w:rPr>
      <w:rFonts w:eastAsia="Times New Roman"/>
      <w:kern w:val="2"/>
      <w:sz w:val="24"/>
      <w:szCs w:val="24"/>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589402">
      <w:bodyDiv w:val="1"/>
      <w:marLeft w:val="0"/>
      <w:marRight w:val="0"/>
      <w:marTop w:val="0"/>
      <w:marBottom w:val="0"/>
      <w:divBdr>
        <w:top w:val="none" w:sz="0" w:space="0" w:color="auto"/>
        <w:left w:val="none" w:sz="0" w:space="0" w:color="auto"/>
        <w:bottom w:val="none" w:sz="0" w:space="0" w:color="auto"/>
        <w:right w:val="none" w:sz="0" w:space="0" w:color="auto"/>
      </w:divBdr>
    </w:div>
    <w:div w:id="327484454">
      <w:bodyDiv w:val="1"/>
      <w:marLeft w:val="0"/>
      <w:marRight w:val="0"/>
      <w:marTop w:val="0"/>
      <w:marBottom w:val="0"/>
      <w:divBdr>
        <w:top w:val="none" w:sz="0" w:space="0" w:color="auto"/>
        <w:left w:val="none" w:sz="0" w:space="0" w:color="auto"/>
        <w:bottom w:val="none" w:sz="0" w:space="0" w:color="auto"/>
        <w:right w:val="none" w:sz="0" w:space="0" w:color="auto"/>
      </w:divBdr>
    </w:div>
    <w:div w:id="398986878">
      <w:bodyDiv w:val="1"/>
      <w:marLeft w:val="0"/>
      <w:marRight w:val="0"/>
      <w:marTop w:val="0"/>
      <w:marBottom w:val="0"/>
      <w:divBdr>
        <w:top w:val="none" w:sz="0" w:space="0" w:color="auto"/>
        <w:left w:val="none" w:sz="0" w:space="0" w:color="auto"/>
        <w:bottom w:val="none" w:sz="0" w:space="0" w:color="auto"/>
        <w:right w:val="none" w:sz="0" w:space="0" w:color="auto"/>
      </w:divBdr>
    </w:div>
    <w:div w:id="652683952">
      <w:bodyDiv w:val="1"/>
      <w:marLeft w:val="0"/>
      <w:marRight w:val="0"/>
      <w:marTop w:val="0"/>
      <w:marBottom w:val="0"/>
      <w:divBdr>
        <w:top w:val="none" w:sz="0" w:space="0" w:color="auto"/>
        <w:left w:val="none" w:sz="0" w:space="0" w:color="auto"/>
        <w:bottom w:val="none" w:sz="0" w:space="0" w:color="auto"/>
        <w:right w:val="none" w:sz="0" w:space="0" w:color="auto"/>
      </w:divBdr>
    </w:div>
    <w:div w:id="680200094">
      <w:bodyDiv w:val="1"/>
      <w:marLeft w:val="0"/>
      <w:marRight w:val="0"/>
      <w:marTop w:val="0"/>
      <w:marBottom w:val="0"/>
      <w:divBdr>
        <w:top w:val="none" w:sz="0" w:space="0" w:color="auto"/>
        <w:left w:val="none" w:sz="0" w:space="0" w:color="auto"/>
        <w:bottom w:val="none" w:sz="0" w:space="0" w:color="auto"/>
        <w:right w:val="none" w:sz="0" w:space="0" w:color="auto"/>
      </w:divBdr>
    </w:div>
    <w:div w:id="852963258">
      <w:bodyDiv w:val="1"/>
      <w:marLeft w:val="0"/>
      <w:marRight w:val="0"/>
      <w:marTop w:val="0"/>
      <w:marBottom w:val="0"/>
      <w:divBdr>
        <w:top w:val="none" w:sz="0" w:space="0" w:color="auto"/>
        <w:left w:val="none" w:sz="0" w:space="0" w:color="auto"/>
        <w:bottom w:val="none" w:sz="0" w:space="0" w:color="auto"/>
        <w:right w:val="none" w:sz="0" w:space="0" w:color="auto"/>
      </w:divBdr>
    </w:div>
    <w:div w:id="1064375017">
      <w:bodyDiv w:val="1"/>
      <w:marLeft w:val="0"/>
      <w:marRight w:val="0"/>
      <w:marTop w:val="0"/>
      <w:marBottom w:val="0"/>
      <w:divBdr>
        <w:top w:val="none" w:sz="0" w:space="0" w:color="auto"/>
        <w:left w:val="none" w:sz="0" w:space="0" w:color="auto"/>
        <w:bottom w:val="none" w:sz="0" w:space="0" w:color="auto"/>
        <w:right w:val="none" w:sz="0" w:space="0" w:color="auto"/>
      </w:divBdr>
    </w:div>
    <w:div w:id="1634364283">
      <w:bodyDiv w:val="1"/>
      <w:marLeft w:val="0"/>
      <w:marRight w:val="0"/>
      <w:marTop w:val="0"/>
      <w:marBottom w:val="0"/>
      <w:divBdr>
        <w:top w:val="none" w:sz="0" w:space="0" w:color="auto"/>
        <w:left w:val="none" w:sz="0" w:space="0" w:color="auto"/>
        <w:bottom w:val="none" w:sz="0" w:space="0" w:color="auto"/>
        <w:right w:val="none" w:sz="0" w:space="0" w:color="auto"/>
      </w:divBdr>
    </w:div>
    <w:div w:id="1639871549">
      <w:bodyDiv w:val="1"/>
      <w:marLeft w:val="0"/>
      <w:marRight w:val="0"/>
      <w:marTop w:val="0"/>
      <w:marBottom w:val="0"/>
      <w:divBdr>
        <w:top w:val="none" w:sz="0" w:space="0" w:color="auto"/>
        <w:left w:val="none" w:sz="0" w:space="0" w:color="auto"/>
        <w:bottom w:val="none" w:sz="0" w:space="0" w:color="auto"/>
        <w:right w:val="none" w:sz="0" w:space="0" w:color="auto"/>
      </w:divBdr>
    </w:div>
    <w:div w:id="1951663682">
      <w:bodyDiv w:val="1"/>
      <w:marLeft w:val="0"/>
      <w:marRight w:val="0"/>
      <w:marTop w:val="0"/>
      <w:marBottom w:val="0"/>
      <w:divBdr>
        <w:top w:val="none" w:sz="0" w:space="0" w:color="auto"/>
        <w:left w:val="none" w:sz="0" w:space="0" w:color="auto"/>
        <w:bottom w:val="none" w:sz="0" w:space="0" w:color="auto"/>
        <w:right w:val="none" w:sz="0" w:space="0" w:color="auto"/>
      </w:divBdr>
    </w:div>
    <w:div w:id="197914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doi.org/10.1016/s0272-6963(02)00018-9"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1007/979-8-8688-1023-7_3"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researchworkx.com/index.php/jci/article/view/2" TargetMode="External"/><Relationship Id="rId25" Type="http://schemas.openxmlformats.org/officeDocument/2006/relationships/hyperlink" Target="https://doi.org/10.1111/jpim.12700" TargetMode="External"/><Relationship Id="rId2" Type="http://schemas.openxmlformats.org/officeDocument/2006/relationships/numbering" Target="numbering.xml"/><Relationship Id="rId16" Type="http://schemas.openxmlformats.org/officeDocument/2006/relationships/hyperlink" Target="https://www.ingentaconnect.com/content/hsp/ama/2015/00000001/00000003/art00010" TargetMode="External"/><Relationship Id="rId20" Type="http://schemas.openxmlformats.org/officeDocument/2006/relationships/hyperlink" Target="https://doi.org/10.1007/s42488-023-00085-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3390/su141710644" TargetMode="External"/><Relationship Id="rId5" Type="http://schemas.openxmlformats.org/officeDocument/2006/relationships/webSettings" Target="webSettings.xml"/><Relationship Id="rId15" Type="http://schemas.openxmlformats.org/officeDocument/2006/relationships/hyperlink" Target="https://doi.org/10.3390/su151612626" TargetMode="External"/><Relationship Id="rId23" Type="http://schemas.openxmlformats.org/officeDocument/2006/relationships/hyperlink" Target="https://doi.org/10.1186/s40537-020-0285-1" TargetMode="External"/><Relationship Id="rId10" Type="http://schemas.openxmlformats.org/officeDocument/2006/relationships/image" Target="media/image3.png"/><Relationship Id="rId19" Type="http://schemas.openxmlformats.org/officeDocument/2006/relationships/hyperlink" Target="https://doi.org/10.1007/s10922-021-09606-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rxiv.org/abs/2501.10685" TargetMode="External"/><Relationship Id="rId22" Type="http://schemas.openxmlformats.org/officeDocument/2006/relationships/hyperlink" Target="https://doi.org/10.1016/j.bcra.2022.10006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93B9E1-FBDA-4577-B615-6AAD1FE37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19</Pages>
  <Words>3842</Words>
  <Characters>21901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25692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Tika Puri</cp:lastModifiedBy>
  <cp:revision>26</cp:revision>
  <dcterms:created xsi:type="dcterms:W3CDTF">2025-02-06T17:57:00Z</dcterms:created>
  <dcterms:modified xsi:type="dcterms:W3CDTF">2025-02-07T12:38:00Z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9ac1990a-5798-455d-8b1d-5fc5211493b6</vt:lpwstr>
  </property>
</Properties>
</file>