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БДЗ-2, аналитическая часть.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>,9 млн руб.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 основу расчета средних цен на товары был взят прайс-лист </w:t>
      </w:r>
      <w:r>
        <w:rPr>
          <w:rFonts w:ascii="Times New Roman" w:hAnsi="Times New Roman"/>
          <w:color w:val="000000"/>
          <w:sz w:val="24"/>
          <w:szCs w:val="24"/>
        </w:rPr>
        <w:t xml:space="preserve">компьютерного магазина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“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Декада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”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. Найдены средние значения цен на 53 основные позиции продаж, средний объем в упаковке и вес для каждой позиции.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Учтем, что транспортные компании рассчитывают стоимость перевозки, исходя из плотности посылки: больше 200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кг/</w:t>
      </w: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м³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рассчитываются, исходя из веса, меньше — исходя из объема.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 нашем случае, медианная плотность перевозимого равна 196,08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кг/</w:t>
      </w:r>
      <w:hyperlink r:id="rId3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м³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, это граничный случай, поэтому расчет был произведен и по объему(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10,7 млн руб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), и по весу(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9,1 млн руб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), разница составила 15%.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Расчет по объему был произведен исходя из медианного значения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стоимости 1 м^3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перевозимого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и объема фургона 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18,4 м^3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). Расчет по весу был произведен исходя из медианного значения стоимости 1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кг перевозимого и грузоподъемност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3,5 тонны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ru-RU"/>
        </w:rPr>
        <w:t xml:space="preserve">Отмечу, что при средней плотности 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196,08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  <w:lang w:val="ru-RU"/>
        </w:rPr>
        <w:t>кг/</w:t>
      </w:r>
      <w:hyperlink r:id="rId4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outline w:val="false"/>
            <w:shadow w:val="false"/>
            <w:color w:val="000000"/>
            <w:spacing w:val="0"/>
            <w:sz w:val="24"/>
            <w:szCs w:val="24"/>
            <w:highlight w:val="white"/>
            <w:u w:val="none"/>
            <w:effect w:val="none"/>
            <w:em w:val="none"/>
            <w:lang w:val="ru-RU"/>
          </w:rPr>
          <w:t>м³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можем заполнить весь фургон по весу, без превышения доступного объема (будет заполнено 97% объема), и заполнить 96% объема без превышения грузоподъемности,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что позволяет оба способа расчета считать применимыми на практике.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ортировать комплектующие по машинам удобно при перевозке типа склад-склад: так можно сэкономить время на сборке и разборке товара на складе. Перевозка типа склад-клиент не выгодна, так как компьютерные комплектующие заказываются в одном, редко двух экземплярах, но при этом клиент, обычно, заказывает несколько позиций сразу же (логично покупать монитор, системный блок, мышь, клавиатуру и колонки, чем заказывать 5 мониторов или 5 мышей одновременно). Более того, на перевозках склад-склад рентабельно перевозить товары,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плотно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сть которых порядка </w:t>
      </w:r>
      <w:bookmarkStart w:id="0" w:name="__DdeLink__114_182407818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20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 кг/м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en-US"/>
        </w:rPr>
        <w:t>^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3</w:t>
      </w:r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(см п.2). При большей плотности, машина поедет на грани перегруза, но с пустым объемом, при меньшей — с заполненным объемом и недогрузом. 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з диаграммы видно, что примерно половина товаров имеет плотность больше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20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0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 кг/м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en-US"/>
        </w:rPr>
        <w:t>^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половина — меньше. 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highlight w:val="white"/>
          <w:u w:val="none"/>
          <w:effect w:val="none"/>
          <w:em w:val="none"/>
          <w:lang w:val="ru-RU"/>
        </w:rPr>
        <w:t>сходя из вышесказанного, считаю более оптимальным возить товары в машине «вперемешку», так как это более выгодно с экономической точки зрения для перевозок склад-клиент и для перевозок склад-склад. Для экономии времени сборки-разборки товара на складе можно ограничиться 3-5 позициями перевозимых в одной машине товаров.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highlight w:val="white"/>
          <w:u w:val="none"/>
          <w:effect w:val="none"/>
          <w:em w:val="none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755" cy="2424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91;&#1073;&#1080;&#1095;&#1077;&#1089;&#1082;&#1080;&#1081;_&#1084;&#1077;&#1090;&#1088;" TargetMode="External"/><Relationship Id="rId3" Type="http://schemas.openxmlformats.org/officeDocument/2006/relationships/hyperlink" Target="https://ru.wikipedia.org/wiki/&#1050;&#1091;&#1073;&#1080;&#1095;&#1077;&#1089;&#1082;&#1080;&#1081;_&#1084;&#1077;&#1090;&#1088;" TargetMode="External"/><Relationship Id="rId4" Type="http://schemas.openxmlformats.org/officeDocument/2006/relationships/hyperlink" Target="https://ru.wikipedia.org/wiki/&#1050;&#1091;&#1073;&#1080;&#1095;&#1077;&#1089;&#1082;&#1080;&#1081;_&#1084;&#1077;&#1090;&#1088;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319</Words>
  <Characters>1936</Characters>
  <CharactersWithSpaces>2247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2019-12-13T19:38:21Z</dcterms:created>
  <dc:creator/>
  <dc:description/>
  <dc:language>ru-RU</dc:language>
  <cp:lastModifiedBy/>
  <dcterms:modified xsi:type="dcterms:W3CDTF">2019-12-13T21:09:44Z</dcterms:modified>
  <cp:revision>1</cp:revision>
  <dc:subject/>
  <dc:title/>
</cp:coreProperties>
</file>