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2d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  <w:rtl w:val="false"/>
        </w:rPr>
        <w:t>一、文档信息</w:t>
      </w:r>
    </w:p>
    <w:tbl>
      <w:tblPr>
        <w:tblStyle w:val="000035"/>
        <w:tblW w:w="0" w:type="auto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firstRow="false" w:lastRow="false" w:firstColumn="false" w:lastColumn="false" w:noHBand="false" w:noVBand="false"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false"/>
          <w:tblHeader w:val="false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字段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内容</w:t>
            </w:r>
          </w:p>
        </w:tc>
      </w:tr>
      <w:tr>
        <w:trPr>
          <w:cantSplit w:val="false"/>
          <w:tblHeader w:val="false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项目名称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ACC高保真数据同步引擎 (ACC High-Fidelity Sync Engine)</w:t>
            </w:r>
          </w:p>
        </w:tc>
      </w:tr>
      <w:tr>
        <w:trPr>
          <w:cantSplit w:val="false"/>
          <w:tblHeader w:val="false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文档版本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V1.</w:t>
            </w: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0</w:t>
            </w:r>
          </w:p>
        </w:tc>
      </w:tr>
      <w:tr>
        <w:trPr>
          <w:cantSplit w:val="false"/>
          <w:tblHeader w:val="false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版本历史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见修订记录</w:t>
            </w:r>
          </w:p>
        </w:tc>
      </w:tr>
      <w:tr>
        <w:trPr>
          <w:cantSplit w:val="false"/>
          <w:tblHeader w:val="false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创建时间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2025-08-15</w:t>
            </w:r>
          </w:p>
        </w:tc>
      </w:tr>
      <w:tr>
        <w:trPr>
          <w:cantSplit w:val="false"/>
          <w:tblHeader w:val="false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产品经理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</w:p>
        </w:tc>
      </w:tr>
      <w:tr>
        <w:trPr>
          <w:cantSplit w:val="false"/>
          <w:tblHeader w:val="false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原型链接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0b57d0"/>
                <w:sz w:val="20"/>
                <w:szCs w:val="20"/>
                <w:u w:val="single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0b57d0"/>
                <w:sz w:val="20"/>
                <w:szCs w:val="20"/>
                <w:u w:val="single"/>
                <w:rtl w:val="false"/>
              </w:rPr>
              <w:t>https://example.jarvisbim.com.cn/acc-backup/#</w:t>
            </w:r>
          </w:p>
        </w:tc>
      </w:tr>
    </w:tbl>
    <w:p>
      <w:pPr>
        <w:pStyle w:val="00002d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  <w:rtl w:val="false"/>
        </w:rPr>
        <w:t>二、修订记录</w:t>
      </w:r>
    </w:p>
    <w:tbl>
      <w:tblPr>
        <w:tblStyle w:val="000036"/>
        <w:tblW w:w="0" w:type="auto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firstRow="false" w:lastRow="false" w:firstColumn="false" w:lastColumn="false" w:noHBand="false" w:noVBand="false"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版本号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日期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内容描述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作者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状态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V1.0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2025-08-15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基于MTR项目技术方案与可行性分析，创建PRD初稿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草稿</w:t>
            </w:r>
          </w:p>
        </w:tc>
      </w:tr>
    </w:tbl>
    <w:p>
      <w:pPr>
        <w:pStyle w:val="00002d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  <w:rtl w:val="false"/>
        </w:rPr>
        <w:t>三、背景与目标</w:t>
      </w:r>
    </w:p>
    <w:p>
      <w:pPr>
        <w:pStyle w:val="00002e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  <w:rtl w:val="false"/>
        </w:rPr>
        <w:t>3.1 业务背景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MTR需要在其位于中国大陆的业务中，对Autodesk Construction Cloud (ACC) 平台上的海量项目数据进行可靠的备份与管理。此举旨在确保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数据主权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、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业务连续性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及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满足本地法规遵循性要求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。需要建立一个独立于ACC云的、可控的本地通用数据环境（CDE），作为ACC数据的“高保真度数字孪生”。</w:t>
      </w:r>
    </w:p>
    <w:p>
      <w:pPr>
        <w:pStyle w:val="00002e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  <w:rtl w:val="false"/>
        </w:rPr>
        <w:t>3.2 问题陈述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当前依赖Autodesk Desktop Connector等客户端工具进行数据同步的方式存在诸多问题，无法满足企业级大规模备份的需求：</w:t>
      </w:r>
    </w:p>
    <w:p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稳定性差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：在虚拟机（VM）环境中频繁崩溃，同步任务中断。</w:t>
      </w:r>
    </w:p>
    <w:p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功能限制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：Windows系统的“长路径”问题导致深层目录结构的文件同步失败。</w:t>
      </w:r>
    </w:p>
    <w:p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缺乏管控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：无法实现服务器到服务器（server-to-server）的自动化、集中式管理与监控。</w:t>
      </w:r>
    </w:p>
    <w:p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120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数据完整性风险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：无法保证元数据、版本历史和复杂工作流数据（如表单、RFI）的完整备份，存在数据丢失和审计风险。</w:t>
      </w:r>
    </w:p>
    <w:p>
      <w:pPr>
        <w:pStyle w:val="00002e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  <w:rtl w:val="false"/>
        </w:rPr>
        <w:t>3.3 产品目标 &amp; 成功指标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核心目标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</w:t>
      </w:r>
    </w:p>
    <w:p>
      <w:pPr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开发一个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无界面的、基于API的后端同步引擎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，实现ACC项目数据的自动化、高保真度备份。</w:t>
      </w:r>
    </w:p>
    <w:p>
      <w:pPr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建立一个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Web管理系统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，用于配置、管理和监控备份任务。</w:t>
      </w:r>
    </w:p>
    <w:p>
      <w:pPr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120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确保备份数据的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完整性、准确性和可追溯性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，创建ACC数据的“高保真度数字孪生”。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成功指标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</w:t>
      </w:r>
    </w:p>
    <w:p>
      <w:pPr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数据保真度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：同步后数据与源数据100%一致（文件数量、版本、大小、元数据通过校验和抽样验证）。</w:t>
      </w:r>
    </w:p>
    <w:p>
      <w:pPr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系统可靠性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：同步引擎核心服务可用性 ≥ 99.9%。</w:t>
      </w:r>
    </w:p>
    <w:p>
      <w:pPr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同步性能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：日常增量同步任务在1小时内完成；初始200TB数据能在Autodesk官方提供的30天窗口期内成功迁移。</w:t>
      </w:r>
    </w:p>
    <w:p>
      <w:pPr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120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用户采纳度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：管理员能在15分钟内完成一个新项目的备份计划配置。</w:t>
      </w:r>
    </w:p>
    <w:p>
      <w:pPr>
        <w:pStyle w:val="00002d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  <w:rtl w:val="false"/>
        </w:rPr>
        <w:t>四、用户分析</w:t>
      </w:r>
    </w:p>
    <w:p>
      <w:pPr>
        <w:pStyle w:val="00002e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  <w:rtl w:val="false"/>
        </w:rPr>
        <w:t>4.1 用户画像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唯一用户群体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</w:t>
      </w:r>
    </w:p>
    <w:p>
      <w:pPr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系统管理员 (MTR Admin)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：作为系统的唯一使用者，负责所有操作，包括：系统的初始部署、配置全局ACC服务账户、创建和管理所有项目的备份计划、监控系统健康状况和存储资源，以及在需要时查看和导出备份与操作日志。</w:t>
      </w:r>
    </w:p>
    <w:p>
      <w:pPr>
        <w:pStyle w:val="00002d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  <w:rtl w:val="false"/>
        </w:rPr>
        <w:t>五、产品整体设计</w:t>
      </w:r>
    </w:p>
    <w:p>
      <w:pPr>
        <w:pStyle w:val="00002e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  <w:rtl w:val="false"/>
        </w:rPr>
        <w:t>5.1 产品定位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一个企业级的、部署在私有云或本地数据中心的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ACC数据备份与归档解决方案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。它通过API直连的方式，提供稳定、高效、可管理的数据同步能力，是保障MTR关键项目资产安全的核心基础设施。</w:t>
      </w:r>
    </w:p>
    <w:p>
      <w:pPr>
        <w:pStyle w:val="00002e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  <w:rtl w:val="false"/>
        </w:rPr>
        <w:t>5.2 价值主张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对于管理员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</w:t>
      </w:r>
    </w:p>
    <w:p>
      <w:pPr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自动化与可靠性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：提供“一次设置，永久运行”的自动化备份，彻底摆脱手动操作和客户端工具的不稳定性。</w:t>
      </w:r>
    </w:p>
    <w:p>
      <w:pPr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集中化管控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：通过统一的Web界面管理所有备份任务，实时监控状态，简化运维。</w:t>
      </w:r>
    </w:p>
    <w:p>
      <w:pPr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120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高保真度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：确保不仅文件本身，其所有版本、自定义属性和工作流历史都得到精确备份，满足严格的审计要求。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对于MTR公司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</w:t>
      </w:r>
    </w:p>
    <w:p>
      <w:pPr>
        <w:numPr>
          <w:ilvl w:val="0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数据主权与合规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：将数据安全地备份在中国境内，满足数据本地化存储的法规要求。</w:t>
      </w:r>
    </w:p>
    <w:p>
      <w:pPr>
        <w:numPr>
          <w:ilvl w:val="0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业务连续性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：在ACC服务中断或出现问题时，提供可用的数据副本，保障业务不中断。</w:t>
      </w:r>
    </w:p>
    <w:p>
      <w:pPr>
        <w:numPr>
          <w:ilvl w:val="0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120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风险规避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：有效规避因数据丢失、损坏或无法访问而导致的重大项目风险和财务损失。</w:t>
      </w:r>
    </w:p>
    <w:p>
      <w:pPr>
        <w:pStyle w:val="00002e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  <w:rtl w:val="false"/>
        </w:rPr>
        <w:t>5.3 用户流程</w:t>
      </w:r>
    </w:p>
    <w:p>
      <w:pPr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文件浏览流程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：登录 → 在左侧树状菜单选择项目/文件夹 → 在主区域查看文件列表 → 点击文件查看详情。</w:t>
      </w:r>
    </w:p>
    <w:p>
      <w:pPr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手动同步流程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：点击“与ACC同步”按钮 → 在弹窗中选择要同步的项目 → 启动同步 → 在“正在备份”页面监控实时进度 → 同步完成后查看摘要。</w:t>
      </w:r>
    </w:p>
    <w:p>
      <w:pPr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配置备份计划流程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：点击“新建备份计划” → 在弹窗中填写计划名称、选择项目、设置执行时间和频率 → 创建计划 → 在“备份计划管理”页面查看和管理所有计划。</w:t>
      </w:r>
    </w:p>
    <w:p>
      <w:pPr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120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监控与追溯流程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：点击“正在备份”查看实时任务 → 点击“备份日志”查看历史记录 → 点击“回收站”管理已删除文件。</w:t>
      </w:r>
    </w:p>
    <w:p>
      <w:pPr>
        <w:pStyle w:val="00002d"/>
        <w:numPr>
          <w:ilvl w:val="0"/>
          <w:numId w:val="8"/>
        </w:numPr>
        <w:pBdr>
          <w:top w:val="none"/>
          <w:left w:val="nil" w:sz="0" w:space="0"/>
          <w:bottom w:val="none"/>
          <w:right w:val="nil" w:sz="0" w:space="0"/>
          <w:between w:val="nil" w:sz="0" w:space="0"/>
        </w:pBdr>
        <w:shd w:val="clear" w:fill="auto"/>
        <w:spacing w:before="120" w:after="120" w:line="275" w:lineRule="auto"/>
        <w:ind/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  <w:rtl w:val="false"/>
          <w:lang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  <w:rtl w:val="false"/>
        </w:rPr>
        <w:t>功能需求</w:t>
      </w:r>
    </w:p>
    <w:p>
      <w:pPr>
        <w:pStyle w:val="00002b"/>
        <w:pBdr>
          <w:left w:val="nil" w:sz="0" w:space="0"/>
          <w:bottom w:val="none"/>
          <w:right w:val="nil" w:sz="0" w:space="0"/>
          <w:between w:val="nil" w:sz="0" w:space="0"/>
        </w:pBdr>
        <w:shd w:val="clear" w:fill="auto"/>
        <w:spacing w:before="120" w:after="120" w:line="275" w:lineRule="auto"/>
        <w:ind w:left="0"/>
        <w:rPr>
          <w:rFonts w:ascii="Google Sans" w:hAnsi="Google Sans" w:eastAsia="Google Sans" w:cs="Google Sans"/>
          <w:i w:val="false"/>
          <w:strike w:val="false"/>
          <w:color w:val="000000"/>
          <w:sz w:val="32"/>
          <w:u w:val="none"/>
        </w:rPr>
      </w:pPr>
      <w:r>
        <w:rPr>
          <w:rFonts w:ascii="Google Sans" w:hAnsi="Google Sans" w:eastAsia="Google Sans" w:cs="Google Sans"/>
          <w:i w:val="false"/>
          <w:strike w:val="false"/>
          <w:color w:val="000000"/>
          <w:sz w:val="32"/>
          <w:u w:val="none"/>
        </w:rPr>
        <w:t>6.</w:t>
      </w:r>
      <w:r>
        <w:rPr>
          <w:rFonts w:hint="eastAsia" w:ascii="Google Sans" w:hAnsi="Google Sans" w:eastAsia="Google Sans" w:cs="Google Sans"/>
          <w:i w:val="false"/>
          <w:strike w:val="false"/>
          <w:color w:val="000000"/>
          <w:sz w:val="32"/>
          <w:u w:val="none"/>
        </w:rPr>
        <w:t>0</w:t>
      </w:r>
      <w:r>
        <w:rPr>
          <w:rFonts w:ascii="Google Sans" w:hAnsi="Google Sans" w:eastAsia="Google Sans" w:cs="Google Sans"/>
          <w:i w:val="false"/>
          <w:strike w:val="false"/>
          <w:color w:val="000000"/>
          <w:sz w:val="32"/>
          <w:u w:val="none"/>
        </w:rPr>
        <w:t xml:space="preserve"> 用户故事点 (User Stories)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核心主题：系统设置与连接</w:t>
      </w:r>
    </w:p>
    <w:p>
      <w:pPr>
        <w:numPr>
          <w:ilvl w:val="0"/>
          <w:numId w:val="9"/>
        </w:numPr>
        <w:pBdr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作为管理员</w:t>
      </w:r>
      <w:r>
        <w:rPr>
          <w:i w:val="false"/>
          <w:strike w:val="false"/>
          <w:color w:val="000000"/>
          <w:u w:val="none"/>
        </w:rPr>
        <w:t>，我想要通过一个引导流程，安全地授权一个专用的ACC服务账户，以便系统能获得访问所有项目数据的必要权限。</w:t>
      </w:r>
    </w:p>
    <w:p>
      <w:pPr>
        <w:snapToGrid/>
        <w:spacing w:line="240"/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核心主题：数据同步与备份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作为管理员</w:t>
      </w:r>
      <w:r>
        <w:rPr>
          <w:i w:val="false"/>
          <w:strike w:val="false"/>
          <w:color w:val="000000"/>
          <w:u w:val="none"/>
        </w:rPr>
        <w:t>，我想要能够随时手动触发特定项目的同步，以便进行即时的数据更新或测试。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作为管理员</w:t>
      </w:r>
      <w:r>
        <w:rPr>
          <w:i w:val="false"/>
          <w:strike w:val="false"/>
          <w:color w:val="000000"/>
          <w:u w:val="none"/>
        </w:rPr>
        <w:t>，我想要创建自动化的备份计划，以便让数据在指定时间（如每天凌晨）定期备份，无需人工干预。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作为管理员</w:t>
      </w:r>
      <w:r>
        <w:rPr>
          <w:i w:val="false"/>
          <w:strike w:val="false"/>
          <w:color w:val="000000"/>
          <w:u w:val="none"/>
        </w:rPr>
        <w:t>，我想要在创建备份计划时，能灵活设置执行频率和数据保留策略，以便平衡备份的及时性和存储成本。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核心主题：监控与审计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作为管理员</w:t>
      </w:r>
      <w:r>
        <w:rPr>
          <w:i w:val="false"/>
          <w:strike w:val="false"/>
          <w:color w:val="000000"/>
          <w:u w:val="none"/>
        </w:rPr>
        <w:t>，我想要一个实时的“正在备份”仪表盘，以便直观地监控当前所有备份任务的进度和状态。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作为管理员</w:t>
      </w:r>
      <w:r>
        <w:rPr>
          <w:i w:val="false"/>
          <w:strike w:val="false"/>
          <w:color w:val="000000"/>
          <w:u w:val="none"/>
        </w:rPr>
        <w:t>，我想要查看所有已完成任务的历史日志，以便审计备份活动并确认任务是否成功。</w:t>
      </w:r>
    </w:p>
    <w:p>
      <w:pPr>
        <w:numPr>
          <w:ilvl w:val="0"/>
          <w:numId w:val="11"/>
        </w:num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作为管理员</w:t>
      </w:r>
      <w:r>
        <w:rPr>
          <w:i w:val="false"/>
          <w:strike w:val="false"/>
          <w:color w:val="000000"/>
          <w:u w:val="none"/>
        </w:rPr>
        <w:t>，我想要在任何备份任务失败时收到邮件告警，以便能够第一时间发现并解决问题。</w:t>
      </w:r>
    </w:p>
    <w:p>
      <w:pPr>
        <w:snapToGrid/>
        <w:spacing w:line="240"/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核心主题：数据访问与验证</w:t>
      </w:r>
    </w:p>
    <w:p>
      <w:pPr>
        <w:numPr>
          <w:ilvl w:val="0"/>
          <w:numId w:val="1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作为管理员</w:t>
      </w:r>
      <w:r>
        <w:rPr>
          <w:i w:val="false"/>
          <w:strike w:val="false"/>
          <w:color w:val="000000"/>
          <w:u w:val="none"/>
        </w:rPr>
        <w:t>，我想要像在本地文件系统一样，通过熟悉的树状目录浏览所有已备份的文件和文件夹，以便快速定位和访问数据。</w:t>
      </w:r>
    </w:p>
    <w:p>
      <w:pPr>
        <w:numPr>
          <w:ilvl w:val="0"/>
          <w:numId w:val="12"/>
        </w:numPr>
        <w:pBdr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作为管理员</w:t>
      </w:r>
      <w:r>
        <w:rPr>
          <w:i w:val="false"/>
          <w:strike w:val="false"/>
          <w:color w:val="000000"/>
          <w:u w:val="none"/>
        </w:rPr>
        <w:t>，我想要查看任何一个已备份文件的详细信息，包括它的所有版本、自定义属性和流程历史，以便验证备份数据的完整性和准确性。</w:t>
      </w:r>
    </w:p>
    <w:p>
      <w:pPr>
        <w:numPr>
          <w:ilvl w:val="0"/>
          <w:numId w:val="12"/>
        </w:numPr>
        <w:pBdr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作为管理员</w:t>
      </w:r>
      <w:r>
        <w:rPr>
          <w:i w:val="false"/>
          <w:strike w:val="false"/>
          <w:color w:val="000000"/>
          <w:u w:val="none"/>
        </w:rPr>
        <w:t>，我想要一个回收站功能，以便在误删文件后能够轻松恢复，防止数据永久丢失。</w:t>
      </w:r>
    </w:p>
    <w:p>
      <w:pPr>
        <w:pBdr>
          <w:bottom w:val="nil" w:sz="0" w:space="0"/>
        </w:pBdr>
        <w:snapToGrid/>
        <w:spacing w:line="240"/>
        <w:ind w:left="0"/>
        <w:rPr/>
      </w:pPr>
    </w:p>
    <w:p>
      <w:pPr>
        <w:pStyle w:val="00002e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  <w:rtl w:val="false"/>
        </w:rPr>
        <w:t>6.1 功能列表</w:t>
      </w:r>
    </w:p>
    <w:p>
      <w:pPr>
        <w:pStyle w:val="00002f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  <w:rtl w:val="false"/>
        </w:rPr>
        <w:t>模块一：文件浏览与管理 (Files View)</w:t>
      </w:r>
    </w:p>
    <w:tbl>
      <w:tblPr>
        <w:tblStyle w:val="000037"/>
        <w:tblW w:w="0" w:type="auto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firstRow="false" w:lastRow="false" w:firstColumn="false" w:lastColumn="false" w:noHBand="false" w:noVBand="false"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功能ID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模块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描述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目标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优先级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F-001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项目与文件夹树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左侧边栏以可折叠的树状结构展示所有已备份的项目和文件夹层级。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提供清晰的数据导航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最高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F-002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树状菜单筛选与搜索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支持按项目名称筛选树状菜单，并提供关键词搜索功能以快速定位文件夹。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提升导航效率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F-003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文件列表展示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主内容区以表格形式展示选定文件夹下的所有文件，包含名称、状态、版本、更新者等关键信息。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核心数据显示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最高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F-004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文件详情面板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点击文件列表中的条目，从右侧滑出详细信息面板，展示文件的所有标准属性、自定义属性、附件和流程历史。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提供深度信息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最高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F-005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文件预览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在详情面板中提供“在浏览器中查看”功能，可在新窗口或弹窗中预览文件内容。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快速查阅文件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F-006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面包屑导航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页面顶部提供面包屑导航，清晰展示当前所在的文件路径，并支持快速返回上级目录。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明确用户位置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最高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F-007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回收站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在左侧菜单提供回收站入口，用于查看和管理被删除的文件，支持还原和永久删除操作。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防止误操作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中</w:t>
            </w:r>
          </w:p>
        </w:tc>
      </w:tr>
    </w:tbl>
    <w:p>
      <w:pPr>
        <w:pStyle w:val="00002f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  <w:rtl w:val="false"/>
        </w:rPr>
        <w:t>模块二：数据同步 (Sync)</w:t>
      </w:r>
    </w:p>
    <w:tbl>
      <w:tblPr>
        <w:tblStyle w:val="000038"/>
        <w:tblW w:w="0" w:type="auto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firstRow="false" w:lastRow="false" w:firstColumn="false" w:lastColumn="false" w:noHBand="false" w:noVBand="false"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功能ID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模块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描述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目标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优先级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F-008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手动触发同步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顶部提供“与ACC同步”按钮，点击后弹出配置窗口，让用户选择需要立即同步的项目。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提供按需同步能力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最高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F-009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同步摘要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同步任务完成后，弹出摘要窗口，清晰展示本次同步中新增、更新的文件数量和项目详情。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提供明确的结果反馈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高</w:t>
            </w:r>
          </w:p>
        </w:tc>
      </w:tr>
    </w:tbl>
    <w:p>
      <w:pPr>
        <w:pStyle w:val="00002f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  <w:rtl w:val="false"/>
        </w:rPr>
        <w:t>模块三：备份计划管理 (Backup Plan Management)</w:t>
      </w:r>
    </w:p>
    <w:tbl>
      <w:tblPr>
        <w:tblStyle w:val="000039"/>
        <w:tblW w:w="0" w:type="auto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firstRow="false" w:lastRow="false" w:firstColumn="false" w:lastColumn="false" w:noHBand="false" w:noVBand="false"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功能ID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模块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描述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目标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优先级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F-011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创建备份计划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提供“新建备份计划”功能，通过弹窗引导用户完成计划名称、备份范围、开始时间和执行频率的配置。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实现自动化备份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最高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F-012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计划列表管理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在“备份计划管理”页面，以列表形式展示所有已创建的计划，并提供编辑、删除、手动执行等操作。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集中管理计划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最高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F-013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数据保留策略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在创建/编辑计划时，允许配置数据保留策略（如保留天数或版本数），后端引擎根据策略自动清理过期数据。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控制存储成本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高</w:t>
            </w:r>
          </w:p>
        </w:tc>
      </w:tr>
    </w:tbl>
    <w:p>
      <w:pPr>
        <w:pStyle w:val="00002f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  <w:rtl w:val="false"/>
        </w:rPr>
        <w:t>模块四：监控与日志 (Monitoring &amp; Logs)</w:t>
      </w:r>
    </w:p>
    <w:tbl>
      <w:tblPr>
        <w:tblStyle w:val="00003a"/>
        <w:tblW w:w="0" w:type="auto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firstRow="false" w:lastRow="false" w:firstColumn="false" w:lastColumn="false" w:noHBand="false" w:noVBand="false"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功能ID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模块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描述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目标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优先级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F-014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实时备份视图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提供“正在备份”页面，实时展示当前所有正在进行的备份任务（手动同步或计划任务）的详细进度。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任务过程透明化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最高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F-015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实时进度详情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在“正在备份”页面，为每个任务展示整体进度，并以列表形式展示每个文件的下载状态、速率和预估剩余时间。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提供精细化监控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F-016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备份日志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提供“备份日志”页面，记录所有已完成的备份任务（成功或失败），便于审计和追溯。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记录任务历史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最高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F-017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告警通知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当备份任务失败时，系统通过邮件等方式向管理员发送告警通知。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及时发现问题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中</w:t>
            </w:r>
          </w:p>
        </w:tc>
      </w:tr>
    </w:tbl>
    <w:p>
      <w:pPr>
        <w:pStyle w:val="00002f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  <w:rtl w:val="false"/>
        </w:rPr>
        <w:t>模块五：</w:t>
      </w:r>
      <w:r>
        <w:rPr>
          <w:rFonts w:ascii="Google Sans" w:hAnsi="Google Sans" w:eastAsia="Google Sans" w:cs="Google Sans"/>
          <w:color w:val="1b1c1d"/>
          <w:sz w:val="24"/>
          <w:szCs w:val="24"/>
          <w:rtl w:val="false"/>
        </w:rPr>
        <w:t>后端同步引擎核心逻辑</w:t>
      </w:r>
    </w:p>
    <w:tbl>
      <w:tblPr>
        <w:tblStyle w:val="00003b"/>
        <w:tblW w:w="0" w:type="auto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firstRow="false" w:lastRow="false" w:firstColumn="false" w:lastColumn="false" w:noHBand="false" w:noVBand="false"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功能ID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模块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描述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目标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优先级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F-018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Data Connector API策略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必须遵循Data Connector API的使用限制，包括申请开通历史数据、管理30天窗口期、处理CSV数据和遵守每日配额。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确保大规模数据迁移可行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最高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F-019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ACC认证管理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系统通过三步认证流程授权一个专用的ACC服务账户，并安全地存储和自动刷新访问令牌。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建立与ACC的安全连接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最高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z w:val="20"/>
                <w:szCs w:val="20"/>
                <w:rtl w:val="false"/>
              </w:rPr>
              <w:t>F-020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Data Connector 数据处理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后端引擎必须具备解析由Data Connector导出的CSV压缩包的能力。它需要根据官方数据纲要（Schema）关联不同的CSV文件，并在本地数据库中重建结构化数据，特别是Forms的完整审批历史，以及Transmittals和Correspondence的详细记录。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实现对批量导出数据的结构化转换与存储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最高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z w:val="20"/>
                <w:szCs w:val="20"/>
                <w:rtl w:val="false"/>
              </w:rPr>
              <w:t>F-022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多源API数据拉取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引擎必须能调用各类APS API来获取数据，包括：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20"/>
                <w:szCs w:val="20"/>
                <w:rtl w:val="false"/>
              </w:rPr>
              <w:t>1) Data Management API</w:t>
            </w: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：用于获取文件、文件夹、版本和自定义属性；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20"/>
                <w:szCs w:val="20"/>
                <w:rtl w:val="false"/>
              </w:rPr>
              <w:t>2) 各模块专用API</w:t>
            </w: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：如ACC Issues, RFI v3, Submittals等API，用于获取结构化数据。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完整获取所有类型数据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最高</w:t>
            </w:r>
          </w:p>
        </w:tc>
      </w:tr>
      <w:tr>
        <w:trPr>
          <w:cantSplit w:val="false"/>
          <w:tblHeader w:val="false"/>
        </w:trPr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z w:val="20"/>
                <w:szCs w:val="20"/>
                <w:rtl w:val="false"/>
              </w:rPr>
              <w:t>F-023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混合式增量同步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before="240" w:after="240" w:line="275" w:lineRule="auto"/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引擎必须采用混合式策略：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20"/>
                <w:szCs w:val="20"/>
                <w:rtl w:val="false"/>
              </w:rPr>
              <w:t>1) Webhook事件驱动</w:t>
            </w: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：实时响应支持该功能的API（如文件更新）；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20"/>
                <w:szCs w:val="20"/>
                <w:rtl w:val="false"/>
              </w:rPr>
              <w:t>2) 时间戳轮询</w:t>
            </w: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：为不支持Webhook的API（如RFIs）提供定时轮询机制，确保所有数据都能实现增量更新。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实现高效增量更新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20"/>
                <w:szCs w:val="20"/>
                <w:rtl w:val="false"/>
              </w:rPr>
              <w:t>最高</w:t>
            </w:r>
          </w:p>
        </w:tc>
      </w:tr>
    </w:tbl>
    <w:p>
      <w:pPr>
        <w:pStyle w:val="00002e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0"/>
          <w:szCs w:val="30"/>
          <w:rtl w:val="false"/>
        </w:rPr>
        <w:t>6.2 数据同步范围与API策略总览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下表总结了本系统计划备份的所有ACC数据类型、对应的技术策略、PoC验证重点以及已知的API限制。</w:t>
      </w:r>
    </w:p>
    <w:tbl>
      <w:tblPr>
        <w:tblStyle w:val="00003c"/>
        <w:tblW w:w="0" w:type="auto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firstRow="false" w:lastRow="false" w:firstColumn="false" w:lastColumn="false" w:noHBand="false" w:noVBand="false"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false"/>
          <w:tblHeader w:val="false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数据类型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当前是否可同步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是否需概念验证(PoC)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所需API分类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支持Webhooks (用于增量同步)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备注 / 主要限制</w:t>
            </w:r>
          </w:p>
        </w:tc>
      </w:tr>
      <w:tr>
        <w:trPr>
          <w:cantSplit w:val="false"/>
          <w:tblHeader w:val="false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File Folders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Data Management API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标准同步，重点在于高保真捕获自定义属性。</w:t>
            </w:r>
          </w:p>
        </w:tc>
      </w:tr>
      <w:tr>
        <w:trPr>
          <w:cantSplit w:val="false"/>
          <w:tblHeader w:val="false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Photos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Data Management API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与文件同步逻辑相同。</w:t>
            </w:r>
          </w:p>
        </w:tc>
      </w:tr>
      <w:tr>
        <w:trPr>
          <w:cantSplit w:val="false"/>
          <w:tblHeader w:val="false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Specification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Data Management API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与文件同步逻辑相同。</w:t>
            </w:r>
          </w:p>
        </w:tc>
      </w:tr>
      <w:tr>
        <w:trPr>
          <w:cantSplit w:val="false"/>
          <w:tblHeader w:val="false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Submittals</w:t>
            </w: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 xml:space="preserve"> (提交项)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ACC Submittals API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通过专用API同步，逻辑直接。</w:t>
            </w:r>
          </w:p>
        </w:tc>
      </w:tr>
      <w:tr>
        <w:trPr>
          <w:cantSplit w:val="false"/>
          <w:tblHeader w:val="false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Transmittal</w:t>
            </w: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 xml:space="preserve"> (传送)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不确定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Data Connector API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无专用API</w:t>
            </w: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。备份能力完全依赖Data Connector，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PoC必须验证其数据完整性</w:t>
            </w: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。</w:t>
            </w:r>
          </w:p>
        </w:tc>
      </w:tr>
      <w:tr>
        <w:trPr>
          <w:cantSplit w:val="false"/>
          <w:tblHeader w:val="false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Reviews</w:t>
            </w: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 xml:space="preserve"> (审阅)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Reviews API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API为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只读(Read-only)</w:t>
            </w: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。只能备份审阅结果，无法在本地重建审阅流程。</w:t>
            </w:r>
          </w:p>
        </w:tc>
      </w:tr>
      <w:tr>
        <w:trPr>
          <w:cantSplit w:val="false"/>
          <w:tblHeader w:val="false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Issues</w:t>
            </w: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 xml:space="preserve"> (问题)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ACC Issues API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通过专用API同步，支持高效的增量更新。</w:t>
            </w:r>
          </w:p>
        </w:tc>
      </w:tr>
      <w:tr>
        <w:trPr>
          <w:cantSplit w:val="false"/>
          <w:tblHeader w:val="false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RFI</w:t>
            </w: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 xml:space="preserve"> (信息请求)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ACC RFI v3 API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必须使用最新的v3版本API。</w:t>
            </w:r>
          </w:p>
        </w:tc>
      </w:tr>
      <w:tr>
        <w:trPr>
          <w:cantSplit w:val="false"/>
          <w:tblHeader w:val="false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Correspondence</w:t>
            </w: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 xml:space="preserve"> (往来函件)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不确定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Data Connector API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无专用API</w:t>
            </w: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。备份能力完全依赖Data Connector，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PoC必须验证其数据完整性</w:t>
            </w: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。</w:t>
            </w:r>
          </w:p>
        </w:tc>
      </w:tr>
      <w:tr>
        <w:trPr>
          <w:cantSplit w:val="false"/>
          <w:tblHeader w:val="false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Forms</w:t>
            </w: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 xml:space="preserve"> (表单)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 (复杂)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ACC Forms API &amp; Data Connector API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双轨API策略</w:t>
            </w: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：需结合Forms API获取实时状态，并用Data Connector API提取和重建完整审批历史。</w:t>
            </w:r>
          </w:p>
        </w:tc>
      </w:tr>
      <w:tr>
        <w:trPr>
          <w:cantSplit w:val="false"/>
          <w:tblHeader w:val="false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Sheets</w:t>
            </w: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 xml:space="preserve"> (图纸)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否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Data Management API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是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与文件同步逻辑相同。</w:t>
            </w:r>
          </w:p>
        </w:tc>
      </w:tr>
    </w:tbl>
    <w:p>
      <w:pPr>
        <w:pStyle w:val="00002d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  <w:rtl w:val="false"/>
        </w:rPr>
        <w:t>七. 详细需求说明</w:t>
      </w:r>
    </w:p>
    <w:p>
      <w:pPr>
        <w:pStyle w:val="00002f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  <w:rtl w:val="false"/>
        </w:rPr>
        <w:t>F-011: 新建备份计划交互流程</w:t>
      </w:r>
    </w:p>
    <w:p>
      <w:pPr>
        <w:numPr>
          <w:ilvl w:val="0"/>
          <w:numId w:val="1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48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触发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：用户在主界面点击“新建备份计划”按钮，或在“备份计划管理”页面点击相应按钮。</w:t>
      </w:r>
    </w:p>
    <w:p>
      <w:pPr>
        <w:numPr>
          <w:ilvl w:val="0"/>
          <w:numId w:val="1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8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弹出窗口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：系统弹出“新建备份计划”模态窗口。</w:t>
      </w:r>
    </w:p>
    <w:p>
      <w:pPr>
        <w:numPr>
          <w:ilvl w:val="0"/>
          <w:numId w:val="1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8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填写信息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</w:t>
      </w:r>
    </w:p>
    <w:p>
      <w:pPr>
        <w:numPr>
          <w:ilvl w:val="1"/>
          <w:numId w:val="1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88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备份计划名称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：必填项。</w:t>
      </w:r>
    </w:p>
    <w:p>
      <w:pPr>
        <w:numPr>
          <w:ilvl w:val="1"/>
          <w:numId w:val="1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88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选择备份项目和文件夹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：以树状结构展示所有ACC项目，用户可勾选需要备份的整个项目或特定文件夹。</w:t>
      </w:r>
    </w:p>
    <w:p>
      <w:pPr>
        <w:numPr>
          <w:ilvl w:val="1"/>
          <w:numId w:val="1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88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备份开始时间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：用户选择一个未来的日期和时间作为首次执行时间。</w:t>
      </w:r>
    </w:p>
    <w:p>
      <w:pPr>
        <w:numPr>
          <w:ilvl w:val="1"/>
          <w:numId w:val="1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88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备份执行间隔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：用户输入数字并选择单位（小时、天、周、月）。</w:t>
      </w:r>
    </w:p>
    <w:p>
      <w:pPr>
        <w:numPr>
          <w:ilvl w:val="0"/>
          <w:numId w:val="1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120" w:line="275" w:lineRule="auto"/>
        <w:ind w:left="48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创建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：用户点击“创建备份计划”按钮，系统进行表单验证。验证通过后，保存计划并关闭弹窗。系统将自动跳转到“备份计划管理”页面并高亮显示新创建的计划。</w:t>
      </w:r>
    </w:p>
    <w:p>
      <w:pPr>
        <w:pStyle w:val="00002f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  <w:rtl w:val="false"/>
        </w:rPr>
        <w:t>F-008: 与ACC同步交互流程</w:t>
      </w:r>
    </w:p>
    <w:p>
      <w:pPr>
        <w:numPr>
          <w:ilvl w:val="0"/>
          <w:numId w:val="1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48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触发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：用户在主界面顶部点击“与ACC同步”按钮。</w:t>
      </w:r>
    </w:p>
    <w:p>
      <w:pPr>
        <w:numPr>
          <w:ilvl w:val="0"/>
          <w:numId w:val="1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8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弹出窗口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：系统弹出“与ACC同步”模态窗口。</w:t>
      </w:r>
    </w:p>
    <w:p>
      <w:pPr>
        <w:numPr>
          <w:ilvl w:val="0"/>
          <w:numId w:val="1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8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选择范围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：窗口中以树状结构展示所有ACC项目，默认全部勾选。用户可以取消勾选不需要立即同步的项目或文件夹。</w:t>
      </w:r>
    </w:p>
    <w:p>
      <w:pPr>
        <w:numPr>
          <w:ilvl w:val="0"/>
          <w:numId w:val="1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8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开始同步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：用户点击“开始同步”按钮。系统关闭弹窗，并自动跳转到“正在备份”页面，实时显示该手动任务的进度。</w:t>
      </w:r>
    </w:p>
    <w:p>
      <w:pPr>
        <w:numPr>
          <w:ilvl w:val="0"/>
          <w:numId w:val="1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120" w:line="275" w:lineRule="auto"/>
        <w:ind w:left="48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完成摘要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：同步任务完成后，系统弹出“同步完成摘要”窗口，告知用户本次同步的结果。</w:t>
      </w:r>
    </w:p>
    <w:p>
      <w:pPr>
        <w:pStyle w:val="00002f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  <w:rtl w:val="false"/>
        </w:rPr>
        <w:t>F-0</w:t>
      </w:r>
      <w:r>
        <w:rPr>
          <w:rFonts w:ascii="Google Sans" w:hAnsi="Google Sans" w:eastAsia="Google Sans" w:cs="Google Sans"/>
          <w:color w:val="1b1c1d"/>
          <w:sz w:val="24"/>
          <w:szCs w:val="24"/>
          <w:rtl w:val="false"/>
        </w:rPr>
        <w:t>23</w:t>
      </w:r>
      <w:r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  <w:rtl w:val="false"/>
        </w:rPr>
        <w:t>: 混合式增量同步策略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为确保数据同步的效率和实时性，同步引擎必须采用混合式策略，以应对不同API的能力差异。</w:t>
      </w:r>
    </w:p>
    <w:p>
      <w:pPr>
        <w:numPr>
          <w:ilvl w:val="0"/>
          <w:numId w:val="1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方案一：事件驱动（通过Webhooks，首选方案）</w:t>
      </w:r>
    </w:p>
    <w:p>
      <w:pPr>
        <w:numPr>
          <w:ilvl w:val="1"/>
          <w:numId w:val="1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适用范围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：适用于支持Webhooks的API模块，如File Folders, Photos, Issues等。</w:t>
      </w:r>
    </w:p>
    <w:p>
      <w:pPr>
        <w:numPr>
          <w:ilvl w:val="1"/>
          <w:numId w:val="1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工作原理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：系统向Autodesk平台订阅特定事件（如version.added）。当ACC中有新文件版本添加时，Autodesk会几乎实时地向我们的同步引擎发送一个通知。引擎收到通知后，立即精准地只同步这一个发生变化的对象。</w:t>
      </w:r>
    </w:p>
    <w:p>
      <w:pPr>
        <w:numPr>
          <w:ilvl w:val="1"/>
          <w:numId w:val="1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优点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：效率最高，资源消耗最低，数据同步最及时。</w:t>
      </w:r>
    </w:p>
    <w:p>
      <w:pPr>
        <w:numPr>
          <w:ilvl w:val="0"/>
          <w:numId w:val="1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方案二：时间戳轮询（定时检查，补充方案）</w:t>
      </w:r>
    </w:p>
    <w:p>
      <w:pPr>
        <w:numPr>
          <w:ilvl w:val="1"/>
          <w:numId w:val="1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适用范围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：适用于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不支持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Webhooks的API模块，如Submittals, RFIs, Forms等。</w:t>
      </w:r>
    </w:p>
    <w:p>
      <w:pPr>
        <w:numPr>
          <w:ilvl w:val="1"/>
          <w:numId w:val="1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工作原理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同步引擎在本地数据库为每个项目/模块记录一个lastSyncTimestamp（上次成功同步的时间点）。在下一次定时任务运行时（例如每小时一次），引擎会向ACC的API发起一个带有时间过滤条件的请求（例如，查询lastModifiedTime &gt; lastSyncTimestamp的所有条目）。</w:t>
      </w:r>
    </w:p>
    <w:p>
      <w:pPr>
        <w:numPr>
          <w:ilvl w:val="1"/>
          <w:numId w:val="1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120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优点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：作为一种可靠的补充手段，确保所有模块的数据最终都能保持同步，避免了对整个项目进行全量扫描的低效操作。</w:t>
      </w:r>
    </w:p>
    <w:p>
      <w:pPr>
        <w:pStyle w:val="00002f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  <w:rtl w:val="false"/>
        </w:rPr>
        <w:t>F-018: Data Connector API 使用策略与限制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Data Connector API是完成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初始数据迁移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和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备份Forms完整历史记录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的关键工具，其使用必须遵循以下策略和限制：</w:t>
      </w:r>
    </w:p>
    <w:p>
      <w:pPr>
        <w:numPr>
          <w:ilvl w:val="0"/>
          <w:numId w:val="1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1. 操作流程限制 (最关键)</w:t>
      </w:r>
    </w:p>
    <w:p>
      <w:pPr>
        <w:numPr>
          <w:ilvl w:val="1"/>
          <w:numId w:val="2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需要官方开通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：要获取超过12个月的完整历史数据，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必须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向Autodesk官方提交技术支持工单，申请开通“完整历史数据提取”功能。</w:t>
      </w:r>
    </w:p>
    <w:p>
      <w:pPr>
        <w:numPr>
          <w:ilvl w:val="1"/>
          <w:numId w:val="2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严格的30天窗口期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：申请通过后，您将只有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30天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的时间来下载全部历史数据。因此，同步程序必须在此之前就绪，否则将错失机会。</w:t>
      </w:r>
    </w:p>
    <w:p>
      <w:pPr>
        <w:numPr>
          <w:ilvl w:val="0"/>
          <w:numId w:val="1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2. 数据与延迟限制</w:t>
      </w:r>
    </w:p>
    <w:p>
      <w:pPr>
        <w:numPr>
          <w:ilvl w:val="1"/>
          <w:numId w:val="2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非实时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：这是一个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异步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工具，提交请求后需要等待几分钟到几小时才能获得数据。不适用于需要即时信息的场景。</w:t>
      </w:r>
    </w:p>
    <w:p>
      <w:pPr>
        <w:numPr>
          <w:ilvl w:val="1"/>
          <w:numId w:val="2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CSV格式交付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：数据会以多个CSV文件的形式打包提供。后端程序需要具备解析这些文件的能力，并根据数据关系在自己的数据库中重建完整的流程历史。</w:t>
      </w:r>
    </w:p>
    <w:p>
      <w:pPr>
        <w:numPr>
          <w:ilvl w:val="0"/>
          <w:numId w:val="1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3. 配额限制</w:t>
      </w:r>
    </w:p>
    <w:p>
      <w:pPr>
        <w:numPr>
          <w:ilvl w:val="1"/>
          <w:numId w:val="2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免费但有数量限制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：调用此API本身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不花钱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（不消耗Flex Tokens）。</w:t>
      </w:r>
    </w:p>
    <w:p>
      <w:pPr>
        <w:numPr>
          <w:ilvl w:val="1"/>
          <w:numId w:val="2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120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每日任务上限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：限制在于配额，每个账户每天最多只能创建</w:t>
      </w: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24个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数据导出任务。</w:t>
      </w:r>
    </w:p>
    <w:p>
      <w:pPr>
        <w:pStyle w:val="00002d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  <w:rtl w:val="false"/>
        </w:rPr>
        <w:t>八、非功能需求 (NFR)</w:t>
      </w:r>
    </w:p>
    <w:tbl>
      <w:tblPr>
        <w:tblStyle w:val="00003d"/>
        <w:tblW w:w="0" w:type="auto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firstRow="false" w:lastRow="false" w:firstColumn="false" w:lastColumn="false" w:noHBand="false" w:noVBand="false"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false"/>
          <w:tblHeader w:val="false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类型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要求描述</w:t>
            </w:r>
          </w:p>
        </w:tc>
      </w:tr>
      <w:tr>
        <w:trPr>
          <w:cantSplit w:val="false"/>
          <w:tblHeader w:val="false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性能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引擎必须能高效处理200TB+的海量数据。增量同步逻辑必须优化，避免全量扫描，减少API调用。</w:t>
            </w:r>
          </w:p>
        </w:tc>
      </w:tr>
      <w:tr>
        <w:trPr>
          <w:cantSplit w:val="false"/>
          <w:tblHeader w:val="false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可靠性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核心服务可用性 &gt; 99.9%。必须实现针对API调用失败的自动重试机制（含指数退避算法）。</w:t>
            </w:r>
          </w:p>
        </w:tc>
      </w:tr>
      <w:tr>
        <w:trPr>
          <w:cantSplit w:val="false"/>
          <w:tblHeader w:val="false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数据保真度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必须完整同步所有文件版本、系统属性、自定义属性及工作流数据（如Forms, Issues, RFIs）。</w:t>
            </w:r>
          </w:p>
        </w:tc>
      </w:tr>
      <w:tr>
        <w:trPr>
          <w:cantSplit w:val="false"/>
          <w:tblHeader w:val="false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安全性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所有敏感凭证（如OAuth令牌、云存储密钥）必须加密存储。Web管理界面需有防CSRF、XSS等安全措施。</w:t>
            </w:r>
          </w:p>
        </w:tc>
      </w:tr>
      <w:tr>
        <w:trPr>
          <w:cantSplit w:val="false"/>
          <w:tblHeader w:val="false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可扩展性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系统架构应能水平扩展，以支持未来更多项目和更大数据量的备份需求。</w:t>
            </w:r>
          </w:p>
        </w:tc>
      </w:tr>
      <w:tr>
        <w:trPr>
          <w:cantSplit w:val="false"/>
          <w:tblHeader w:val="false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可维护性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必须有完善的日志记录，覆盖所有关键操作和API交互，便于问题排查。</w:t>
            </w:r>
          </w:p>
        </w:tc>
      </w:tr>
    </w:tbl>
    <w:p>
      <w:pPr>
        <w:pStyle w:val="00002d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  <w:rtl w:val="false"/>
        </w:rPr>
        <w:t>九、迭代与上线计划</w:t>
      </w:r>
    </w:p>
    <w:tbl>
      <w:tblPr>
        <w:tblStyle w:val="00003e"/>
        <w:tblW w:w="0" w:type="auto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firstRow="false" w:lastRow="false" w:firstColumn="false" w:lastColumn="false" w:noHBand="false" w:noVBand="false"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false"/>
          <w:tblHeader w:val="false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迭代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周期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功能包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验证点</w:t>
            </w:r>
          </w:p>
        </w:tc>
      </w:tr>
      <w:tr>
        <w:trPr>
          <w:cantSplit w:val="false"/>
          <w:tblHeader w:val="false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Sprint 1 (核心引擎)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- 核心同步引擎：实现文件、版本、元数据的同步逻辑。- 完成三步认证。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能够手动同步一个试点项目。</w:t>
            </w:r>
          </w:p>
        </w:tc>
      </w:tr>
    </w:tbl>
    <w:p>
      <w:pPr>
        <w:pStyle w:val="00002d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  <w:rtl w:val="false"/>
        </w:rPr>
        <w:t>十、未来范围与潜在需求 (Future Scope &amp; Potential Requirements)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本章节记录当前版本范围之外，但在未来产品迭代中具有较高价值的潜在需求。这些需求将在核心功能稳定运行后，根据业务优先级进行评估和规划。</w:t>
      </w:r>
    </w:p>
    <w:p>
      <w:pPr>
        <w:numPr>
          <w:ilvl w:val="0"/>
          <w:numId w:val="2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同步审阅与标记 (Markup Sync)</w:t>
      </w:r>
    </w:p>
    <w:p>
      <w:pPr>
        <w:numPr>
          <w:ilvl w:val="1"/>
          <w:numId w:val="2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需求描述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：除了文件本身，还需要同步用户在ACC Viewer中对模型（RVT, IFC）和图纸（PDF, DWG）创建的所有审阅标记（Markups）、问题点（Issues）和测量数据。这些信息是项目协作过程中的重要资产。</w:t>
      </w:r>
    </w:p>
    <w:p>
      <w:pPr>
        <w:numPr>
          <w:ilvl w:val="1"/>
          <w:numId w:val="2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技术挑战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：需要对Autodesk的Markup API进行深入的技术预研，确定其数据结构、同步可行性以及是否支持增量获取。这可能会引入新的API依赖和更复杂的数据模型。</w:t>
      </w:r>
    </w:p>
    <w:p>
      <w:pPr>
        <w:numPr>
          <w:ilvl w:val="0"/>
          <w:numId w:val="2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与iSuper产品集成 (Integration with iSuper)</w:t>
      </w:r>
    </w:p>
    <w:p>
      <w:pPr>
        <w:numPr>
          <w:ilvl w:val="1"/>
          <w:numId w:val="2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需求描述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：将ACC备份系统的数据与isBIM的另一个核心产品iSuper进行集成。</w:t>
      </w:r>
    </w:p>
    <w:p>
      <w:pPr>
        <w:numPr>
          <w:ilvl w:val="1"/>
          <w:numId w:val="2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业务价值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：打通isBIM内部产品生态，为用户提供一站式、更全面的项目数据管理和监督解决方案，形成数据闭环。</w:t>
      </w:r>
    </w:p>
    <w:p>
      <w:pPr>
        <w:numPr>
          <w:ilvl w:val="1"/>
          <w:numId w:val="2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120" w:line="275" w:lineRule="auto"/>
        <w:ind w:left="870" w:hanging="360"/>
        <w:rPr/>
      </w:pPr>
      <w:r>
        <w:rPr>
          <w:rFonts w:ascii="Google Sans Text" w:hAnsi="Google Sans Text" w:eastAsia="Google Sans Text" w:cs="Google Sans Text"/>
          <w:b/>
          <w:i w:val="false"/>
          <w:color w:val="1b1c1d"/>
          <w:sz w:val="24"/>
          <w:szCs w:val="24"/>
          <w:rtl w:val="false"/>
        </w:rPr>
        <w:t>技术挑战</w:t>
      </w: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：需要两个产品团队进行深入的技术对接，可能涉及API的相互开放、数据格式的统一以及认证体系的打通。</w:t>
      </w:r>
    </w:p>
    <w:p>
      <w:pPr>
        <w:pStyle w:val="00002d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  <w:rtl w:val="false"/>
        </w:rPr>
        <w:t>十一、运营 &amp; 风险评估</w:t>
      </w:r>
    </w:p>
    <w:p>
      <w:pPr>
        <w:pStyle w:val="00002f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24"/>
          <w:szCs w:val="24"/>
          <w:rtl w:val="false"/>
        </w:rPr>
        <w:t>风险识别与应对</w:t>
      </w:r>
    </w:p>
    <w:tbl>
      <w:tblPr>
        <w:tblStyle w:val="00003f"/>
        <w:tblW w:w="0" w:type="auto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firstRow="false" w:lastRow="false" w:firstColumn="false" w:lastColumn="false" w:noHBand="false" w:noVBand="false"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false"/>
          <w:tblHeader w:val="false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风险类型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风险描述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影响程度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应对策略</w:t>
            </w:r>
          </w:p>
        </w:tc>
      </w:tr>
      <w:tr>
        <w:trPr>
          <w:cantSplit w:val="false"/>
          <w:tblHeader w:val="false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集成风险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Autodesk API速率限制导致同步失败或缓慢。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高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在引擎中实现带有指数退避的自动重试机制；优先使用批处理端点减少API调用总数。</w:t>
            </w:r>
          </w:p>
        </w:tc>
      </w:tr>
      <w:tr>
        <w:trPr>
          <w:cantSplit w:val="false"/>
          <w:tblHeader w:val="false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权限风险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配置的ACC服务账户权限不足，导致备份数据不完整。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高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在产品文档和UI中明确要求配置“项目管理员”权限的服务账户；引擎增加权限预检逻辑，对权限不足的项目进行告警。</w:t>
            </w:r>
          </w:p>
        </w:tc>
      </w:tr>
      <w:tr>
        <w:trPr>
          <w:cantSplit w:val="false"/>
          <w:tblHeader w:val="false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流程风险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未能在30天窗口期内完成初始历史数据迁移（见F-018）。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高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color w:val="1b1c1d"/>
                <w:sz w:val="20"/>
                <w:szCs w:val="20"/>
                <w:shd w:val="clear" w:fill="auto"/>
                <w:rtl w:val="false"/>
              </w:rPr>
              <w:t>在项目启动前，确保同步引擎已开发测试完毕，再向Autodesk申请开启历史数据导出功能。</w:t>
            </w:r>
          </w:p>
        </w:tc>
      </w:tr>
    </w:tbl>
    <w:p>
      <w:pPr>
        <w:pStyle w:val="00002d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</w:rPr>
      </w:pPr>
      <w:r>
        <w:rPr>
          <w:rFonts w:ascii="Google Sans" w:hAnsi="Google Sans" w:eastAsia="Google Sans" w:cs="Google Sans"/>
          <w:b/>
          <w:i w:val="false"/>
          <w:color w:val="1b1c1d"/>
          <w:sz w:val="32"/>
          <w:szCs w:val="32"/>
          <w:rtl w:val="false"/>
        </w:rPr>
        <w:t>十二、附录 &amp; 支持材料</w:t>
      </w:r>
    </w:p>
    <w:p>
      <w:pPr>
        <w:numPr>
          <w:ilvl w:val="0"/>
          <w:numId w:val="2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[ACC数据同步技术方案.docx]</w:t>
      </w:r>
    </w:p>
    <w:p>
      <w:pPr>
        <w:numPr>
          <w:ilvl w:val="0"/>
          <w:numId w:val="2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[ACC数据同步方案可行性分析.docx]</w:t>
      </w:r>
    </w:p>
    <w:p>
      <w:pPr>
        <w:numPr>
          <w:ilvl w:val="0"/>
          <w:numId w:val="2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0" w:afterAutospacing="false" w:line="275" w:lineRule="auto"/>
        <w:ind w:left="465" w:hanging="360"/>
        <w:rPr/>
      </w:pPr>
      <w:r>
        <w:rPr>
          <w:rFonts w:ascii="Google Sans Text" w:hAnsi="Google Sans Text" w:eastAsia="Google Sans Text" w:cs="Google Sans Text"/>
          <w:i w:val="false"/>
          <w:color w:val="1b1c1d"/>
          <w:sz w:val="24"/>
          <w:szCs w:val="24"/>
          <w:rtl w:val="false"/>
        </w:rPr>
        <w:t>[ACC方案预算费用分析.docx]</w:t>
      </w:r>
    </w:p>
    <w:p>
      <w:pPr>
        <w:numPr>
          <w:ilvl w:val="0"/>
          <w:numId w:val="2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false" w:after="120" w:line="275" w:lineRule="auto"/>
        <w:ind w:left="465" w:hanging="360"/>
        <w:rPr/>
      </w:pPr>
      <w:r>
        <w:rPr/>
        <w:fldChar w:fldCharType="begin" w:fldLock="false" w:dirty="false"/>
      </w:r>
      <w:r>
        <w:rPr/>
        <w:instrText>HYPERLINK "https://aps.autodesk.com/"</w:instrText>
      </w:r>
      <w:r>
        <w:rPr/>
        <w:fldChar w:fldCharType="separate" w:fldLock="false" w:dirty="false"/>
      </w:r>
      <w:r>
        <w:rPr>
          <w:rFonts w:ascii="Google Sans Text" w:hAnsi="Google Sans Text" w:eastAsia="Google Sans Text" w:cs="Google Sans Text"/>
          <w:i w:val="false"/>
          <w:color w:val="0b57d0"/>
          <w:sz w:val="24"/>
          <w:szCs w:val="24"/>
          <w:u w:val="single"/>
          <w:rtl w:val="false"/>
        </w:rPr>
        <w:t>Autodesk Platform Services (APS) API 文档</w:t>
      </w:r>
      <w:r>
        <w:rPr/>
        <w:fldChar w:fldCharType="end" w:fldLock="false" w:dirty="false"/>
      </w:r>
    </w:p>
    <w:sectPr>
      <w:pgSz w:w="12240" w:h="15840" w:orient="portrait"/>
      <w:pgMar w:top="1440" w:right="1440" w:bottom="1440" w:left="1440" w:header="0" w:footer="720"/>
      <w:pgNumType w:start="1"/>
    </w:sectPr>
  </w:body>
</w:document>
</file>

<file path=word/fontTable.xml><?xml version="1.0" encoding="utf-8"?>
<w:fonts xmlns:w="http://schemas.openxmlformats.org/wordprocessingml/2006/main">
  <w:font w:name="Georgia"/>
  <w:font w:name="Google Sans"/>
  <w:font w:name="Google Sans Text"/>
  <w:font w:name="Arial"/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4"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lvl w:ilvl="6">
      <w:start w:val="1"/>
      <w:numFmt w:val="chineseCountingThousand"/>
      <w:lvlText w:val="%7、"/>
      <w:lvlJc w:val="left"/>
      <w:pPr>
        <w:ind w:left="3102" w:hanging="462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0">
      <w:start w:val="6"/>
      <w:numFmt w:val="chineseCountingThousand"/>
      <w:lvlText w:val="%1、"/>
      <w:lvlJc w:val="left"/>
      <w:pPr>
        <w:ind w:left="462" w:hanging="462" w:firstLine="0"/>
      </w:pPr>
      <w:rPr>
        <w:rFonts w:hint="default" w:ascii="" w:hAnsi="" w:cs=""/>
      </w:rPr>
    </w:lvl>
    <w:lvl w:ilvl="7">
      <w:start w:val="1"/>
      <w:numFmt w:val="decimal"/>
      <w:lvlText w:val="%8、"/>
      <w:lvlJc w:val="left"/>
      <w:pPr>
        <w:ind w:left="341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</w:abstractNum>
  <w:abstractNum w:abstractNumId="9"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6"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4"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5"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6"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false"/>
        <w:i w:val="false"/>
        <w:smallCaps w:val="false"/>
        <w:strike w:val="false"/>
        <w:color w:val="000000"/>
        <w:sz w:val="22"/>
        <w:szCs w:val="22"/>
        <w:u w:val="none"/>
        <w:shd w:val="clear" w:fill="auto"/>
        <w:vertAlign w:val="baseline"/>
      </w:rPr>
    </w:lvl>
  </w:abstractNum>
  <w:num w:numId="2">
    <w:abstractNumId w:val="4"/>
  </w:num>
  <w:num w:numId="13">
    <w:abstractNumId w:val="13"/>
  </w:num>
  <w:num w:numId="7">
    <w:abstractNumId w:val="12"/>
  </w:num>
  <w:num w:numId="22">
    <w:abstractNumId w:val="7"/>
  </w:num>
  <w:num w:numId="17">
    <w:abstractNumId w:val="11"/>
  </w:num>
  <w:num w:numId="10">
    <w:abstractNumId w:val="2"/>
  </w:num>
  <w:num w:numId="16">
    <w:abstractNumId w:val="5"/>
  </w:num>
  <w:num w:numId="21">
    <w:abstractNumId w:val="26"/>
  </w:num>
  <w:num w:numId="8">
    <w:abstractNumId w:val="8"/>
  </w:num>
  <w:num w:numId="25">
    <w:abstractNumId w:val="24"/>
  </w:num>
  <w:num w:numId="20">
    <w:abstractNumId w:val="23"/>
  </w:num>
  <w:num w:numId="23">
    <w:abstractNumId w:val="9"/>
  </w:num>
  <w:num w:numId="1">
    <w:abstractNumId w:val="25"/>
  </w:num>
  <w:num w:numId="18">
    <w:abstractNumId w:val="10"/>
  </w:num>
  <w:num w:numId="14">
    <w:abstractNumId w:val="22"/>
  </w:num>
  <w:num w:numId="11">
    <w:abstractNumId w:val="15"/>
  </w:num>
  <w:num w:numId="9">
    <w:abstractNumId w:val="3"/>
  </w:num>
  <w:num w:numId="15">
    <w:abstractNumId w:val="21"/>
  </w:num>
  <w:num w:numId="5">
    <w:abstractNumId w:val="18"/>
  </w:num>
  <w:num w:numId="4">
    <w:abstractNumId w:val="1"/>
  </w:num>
  <w:num w:numId="24">
    <w:abstractNumId w:val="19"/>
  </w:num>
  <w:num w:numId="19">
    <w:abstractNumId w:val="16"/>
  </w:num>
  <w:num w:numId="26">
    <w:abstractNumId w:val="20"/>
  </w:num>
  <w:num w:numId="3">
    <w:abstractNumId w:val="14"/>
  </w:num>
  <w:num w:numId="6">
    <w:abstractNumId w:val="6"/>
  </w:num>
  <w:num w:numId="12">
    <w:abstractNumId w:val="17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false"/>
      </w:pPr>
    </w:pPrDefault>
  </w:docDefaults>
  <w:style w:type="table" w:styleId="00003d">
    <w:basedOn w:val="0000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30">
    <w:name w:val="heading 4"/>
    <w:basedOn w:val="00002b"/>
    <w:next w:val="00002b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/>
      <w:i w:val="false"/>
      <w:sz w:val="24"/>
      <w:szCs w:val="24"/>
    </w:rPr>
  </w:style>
  <w:style w:type="table" w:styleId="000038">
    <w:basedOn w:val="0000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00002c" w:default="true">
    <w:name w:val="TableNormal"/>
  </w:style>
  <w:style w:type="paragraph" w:styleId="00002f">
    <w:name w:val="heading 3"/>
    <w:basedOn w:val="00002b"/>
    <w:next w:val="00002b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/>
      <w:i w:val="false"/>
      <w:sz w:val="28"/>
      <w:szCs w:val="28"/>
    </w:rPr>
  </w:style>
  <w:style w:type="table" w:styleId="00003e">
    <w:basedOn w:val="0000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000037">
    <w:basedOn w:val="0000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2b" w:default="true">
    <w:name w:val="normal"/>
  </w:style>
  <w:style w:type="table" w:styleId="00003c">
    <w:basedOn w:val="0000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000039">
    <w:basedOn w:val="0000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31">
    <w:name w:val="heading 5"/>
    <w:basedOn w:val="00002b"/>
    <w:next w:val="00002b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/>
      <w:i w:val="false"/>
      <w:sz w:val="18"/>
      <w:szCs w:val="18"/>
    </w:rPr>
  </w:style>
  <w:style w:type="paragraph" w:styleId="000033">
    <w:name w:val="Title"/>
    <w:basedOn w:val="00002b"/>
    <w:next w:val="00002b"/>
    <w:pPr>
      <w:keepNext/>
      <w:keepLines/>
      <w:pageBreakBefore w:val="false"/>
      <w:spacing w:before="480" w:after="120" w:lineRule="auto"/>
    </w:pPr>
    <w:rPr>
      <w:b/>
      <w:sz w:val="72"/>
      <w:szCs w:val="72"/>
    </w:rPr>
  </w:style>
  <w:style w:type="table" w:styleId="000035">
    <w:basedOn w:val="0000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000036">
    <w:basedOn w:val="0000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34">
    <w:name w:val="Subtitle"/>
    <w:basedOn w:val="00002b"/>
    <w:next w:val="00002b"/>
    <w:pPr>
      <w:keepNext/>
      <w:keepLines/>
      <w:pageBreakBefore w:val="false"/>
      <w:spacing w:before="360" w:after="8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00003b">
    <w:basedOn w:val="0000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00003a">
    <w:basedOn w:val="0000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2e">
    <w:name w:val="heading 2"/>
    <w:basedOn w:val="00002b"/>
    <w:next w:val="00002b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5" w:after="225" w:lineRule="auto"/>
    </w:pPr>
    <w:rPr>
      <w:b/>
      <w:i w:val="false"/>
      <w:sz w:val="36"/>
      <w:szCs w:val="36"/>
    </w:rPr>
  </w:style>
  <w:style w:type="paragraph" w:styleId="000032">
    <w:name w:val="heading 6"/>
    <w:basedOn w:val="00002b"/>
    <w:next w:val="00002b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360" w:lineRule="auto"/>
    </w:pPr>
    <w:rPr>
      <w:b/>
      <w:i w:val="false"/>
      <w:sz w:val="16"/>
      <w:szCs w:val="16"/>
    </w:rPr>
  </w:style>
  <w:style w:type="paragraph" w:styleId="00002d">
    <w:name w:val="heading 1"/>
    <w:basedOn w:val="00002b"/>
    <w:next w:val="00002b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/>
      <w:i w:val="false"/>
      <w:sz w:val="48"/>
      <w:szCs w:val="48"/>
    </w:rPr>
  </w:style>
  <w:style w:type="table" w:styleId="00003f">
    <w:basedOn w:val="0000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2025-08-18T14:22:58Z</dcterms:created>
  <dcterms:modified xsi:type="dcterms:W3CDTF">2025-08-18T14:22:58Z</dcterms:modified>
</cp:coreProperties>
</file>