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47FB" w14:textId="77777777" w:rsidR="00317F62" w:rsidRDefault="00000000">
      <w:pPr>
        <w:jc w:val="center"/>
      </w:pPr>
      <w:r>
        <w:rPr>
          <w:b/>
          <w:color w:val="265073"/>
          <w:sz w:val="24"/>
        </w:rPr>
        <w:t>FROM THE ARCHIVE</w:t>
      </w:r>
    </w:p>
    <w:p w14:paraId="12D259A1" w14:textId="77777777" w:rsidR="00317F62" w:rsidRDefault="00000000">
      <w:pPr>
        <w:jc w:val="center"/>
      </w:pPr>
      <w:r>
        <w:rPr>
          <w:i/>
          <w:sz w:val="22"/>
        </w:rPr>
        <w:t>Medical History Reimagined</w:t>
      </w:r>
    </w:p>
    <w:p w14:paraId="2AC5291E" w14:textId="77777777" w:rsidR="00317F62" w:rsidRDefault="00000000">
      <w:pPr>
        <w:jc w:val="center"/>
      </w:pPr>
      <w:r>
        <w:rPr>
          <w:b/>
          <w:sz w:val="38"/>
        </w:rPr>
        <w:t>The Simple Idea Behind the Stethoscope Invention That Changed Medicine</w:t>
      </w:r>
    </w:p>
    <w:p w14:paraId="68C71D24" w14:textId="77777777" w:rsidR="00317F62" w:rsidRDefault="00000000">
      <w:pPr>
        <w:jc w:val="center"/>
      </w:pPr>
      <w:r>
        <w:rPr>
          <w:i/>
          <w:color w:val="5E6669"/>
          <w:sz w:val="19"/>
        </w:rPr>
        <w:t>SEO keyword: stethoscope invention</w:t>
      </w:r>
    </w:p>
    <w:p w14:paraId="39B5E597" w14:textId="77777777" w:rsidR="00317F62" w:rsidRDefault="00000000">
      <w:r>
        <w:rPr>
          <w:b/>
        </w:rPr>
        <w:t>The stethoscope is so ordinary today that it is easy to forget how strange medicine looked before it existed.</w:t>
      </w:r>
    </w:p>
    <w:p w14:paraId="1235A0D5" w14:textId="77777777" w:rsidR="00317F62" w:rsidRDefault="00000000">
      <w:r>
        <w:t>In 1816, French physician René Laënnec was examining a young woman with symptoms that suggested a heart problem. Directly placing an ear against a patient's chest was already an established method, but in this case Laënnec found it uncomfortable and impractical. He tried something simple instead: he rolled a sheet of paper into a cylinder and placed one end against her chest.</w:t>
      </w:r>
    </w:p>
    <w:p w14:paraId="2E67D017" w14:textId="77777777" w:rsidR="00317F62" w:rsidRDefault="00000000">
      <w:r>
        <w:t>He heard the heart more clearly than he had expected.</w:t>
      </w:r>
    </w:p>
    <w:p w14:paraId="5FA6CB7C" w14:textId="77777777" w:rsidR="00317F62" w:rsidRDefault="00000000">
      <w:r>
        <w:t xml:space="preserve">That improvised tube became the starting point for the modern stethoscope. The </w:t>
      </w:r>
      <w:r>
        <w:rPr>
          <w:b/>
          <w:highlight w:val="yellow"/>
        </w:rPr>
        <w:t>stethoscope invention</w:t>
      </w:r>
      <w:r>
        <w:t xml:space="preserve"> changed not only how doctors listened, but how they connected a sound to what was happening inside the body. Laënnec spent the next few years refining the idea, moving from the paper cylinder to wooden instruments and developing what he called mediate auscultation - listening to the body through an object rather than directly. It also gave physicians a repeatable way to interpret internal sounds instead of relying only on what the patient could describe.</w:t>
      </w:r>
    </w:p>
    <w:p w14:paraId="1CD938AE" w14:textId="77777777" w:rsidR="00317F62" w:rsidRDefault="00000000">
      <w:r>
        <w:t>What makes the story worth remembering is not just that someone invented an instrument. The real shift was in what the instrument allowed medicine to do. Sounds from inside the chest could now be linked more systematically to what physicians later found in diseased organs. The stethoscope helped turn listening into a more disciplined part of diagnosis.</w:t>
      </w:r>
    </w:p>
    <w:p w14:paraId="54601C83" w14:textId="77777777" w:rsidR="00317F62" w:rsidRDefault="00000000">
      <w:r>
        <w:t>Today it hangs around the neck almost like part of the uniform. But its beginning was much less grand: a doctor, a difficult examination, and a piece of paper.</w:t>
      </w:r>
    </w:p>
    <w:p w14:paraId="0632BB5D" w14:textId="77777777" w:rsidR="00317F62" w:rsidRDefault="00000000">
      <w:r>
        <w:rPr>
          <w:b/>
          <w:color w:val="2D9596"/>
          <w:sz w:val="19"/>
        </w:rPr>
        <w:t>THOUGHT WORTH KEEPING</w:t>
      </w:r>
    </w:p>
    <w:p w14:paraId="634A963B" w14:textId="77777777" w:rsidR="00317F62" w:rsidRDefault="00000000">
      <w:pPr>
        <w:jc w:val="center"/>
      </w:pPr>
      <w:r>
        <w:rPr>
          <w:i/>
          <w:sz w:val="22"/>
        </w:rPr>
        <w:t>“Good medicine sometimes begins with a very simple question: is there a better way to listen?”</w:t>
      </w:r>
    </w:p>
    <w:p w14:paraId="3F723F28" w14:textId="77777777" w:rsidR="00317F62" w:rsidRDefault="00000000">
      <w:r>
        <w:rPr>
          <w:b/>
          <w:color w:val="2D9596"/>
          <w:sz w:val="19"/>
        </w:rPr>
        <w:t>REFERENCES</w:t>
      </w:r>
    </w:p>
    <w:p w14:paraId="1CEDC6B0" w14:textId="77777777" w:rsidR="00317F62" w:rsidRDefault="00000000">
      <w:pPr>
        <w:ind w:left="170"/>
      </w:pPr>
      <w:r>
        <w:rPr>
          <w:sz w:val="18"/>
        </w:rPr>
        <w:t>NCBI Bookshelf. “The Origins of the History and Physical Examination - Clinical Methods.”</w:t>
      </w:r>
      <w:r>
        <w:rPr>
          <w:sz w:val="18"/>
        </w:rPr>
        <w:br/>
        <w:t>https://www.ncbi.nlm.nih.gov/books/NBK458/</w:t>
      </w:r>
    </w:p>
    <w:p w14:paraId="68EC09A7" w14:textId="77777777" w:rsidR="00317F62" w:rsidRDefault="00000000">
      <w:pPr>
        <w:ind w:left="170"/>
      </w:pPr>
      <w:r>
        <w:rPr>
          <w:sz w:val="18"/>
        </w:rPr>
        <w:t>PubMed. “René Théophile Hyacinthe Laënnec (1781-1826). Two hundred years of the stethoscope. A brief overview.”</w:t>
      </w:r>
      <w:r>
        <w:rPr>
          <w:sz w:val="18"/>
        </w:rPr>
        <w:br/>
        <w:t>https://pubmed.ncbi.nlm.nih.gov/32924399/</w:t>
      </w:r>
    </w:p>
    <w:p w14:paraId="423B42F4" w14:textId="77777777" w:rsidR="00317F62" w:rsidRDefault="00000000">
      <w:pPr>
        <w:ind w:left="170"/>
      </w:pPr>
      <w:r>
        <w:rPr>
          <w:sz w:val="18"/>
        </w:rPr>
        <w:t>Clinical Medicine &amp; Research. “René Théophile Hyacinthe Laënnec (1781-1826): The Man Behind the Stethoscope.”</w:t>
      </w:r>
      <w:r>
        <w:rPr>
          <w:sz w:val="18"/>
        </w:rPr>
        <w:br/>
        <w:t>https://pmc.ncbi.nlm.nih.gov/articles/PMC1570491/</w:t>
      </w:r>
    </w:p>
    <w:p w14:paraId="76846B12" w14:textId="77777777" w:rsidR="00317F62" w:rsidRDefault="00000000">
      <w:r>
        <w:br w:type="page"/>
      </w:r>
    </w:p>
    <w:p w14:paraId="009E0389" w14:textId="67DBC944" w:rsidR="005E7600" w:rsidRDefault="005E7600">
      <w:pPr>
        <w:jc w:val="center"/>
        <w:rPr>
          <w:i/>
          <w:color w:val="5E6669"/>
          <w:sz w:val="19"/>
        </w:rPr>
      </w:pPr>
      <w:r>
        <w:rPr>
          <w:b/>
          <w:bCs/>
          <w:i/>
          <w:color w:val="5E6669"/>
          <w:sz w:val="19"/>
        </w:rPr>
        <w:lastRenderedPageBreak/>
        <w:t>T</w:t>
      </w:r>
      <w:r w:rsidRPr="005E7600">
        <w:rPr>
          <w:b/>
          <w:bCs/>
          <w:i/>
          <w:color w:val="5E6669"/>
          <w:sz w:val="19"/>
        </w:rPr>
        <w:t>he Consultation Changed the Doctor-Patient R</w:t>
      </w:r>
      <w:r>
        <w:rPr>
          <w:b/>
          <w:bCs/>
          <w:i/>
          <w:color w:val="5E6669"/>
          <w:sz w:val="19"/>
        </w:rPr>
        <w:t>elationship</w:t>
      </w:r>
    </w:p>
    <w:p w14:paraId="68EFA6F9" w14:textId="4216D2B3" w:rsidR="00317F62" w:rsidRDefault="00000000">
      <w:pPr>
        <w:jc w:val="center"/>
      </w:pPr>
      <w:r>
        <w:rPr>
          <w:i/>
          <w:color w:val="5E6669"/>
          <w:sz w:val="19"/>
        </w:rPr>
        <w:t>SEO keyword: doctor-patient relationship</w:t>
      </w:r>
    </w:p>
    <w:p w14:paraId="4CE59B96" w14:textId="77777777" w:rsidR="00317F62" w:rsidRDefault="00000000">
      <w:r>
        <w:rPr>
          <w:b/>
        </w:rPr>
        <w:t>There was a time when a doctor's authority did most of the talking.</w:t>
      </w:r>
    </w:p>
    <w:p w14:paraId="1F8EB05F" w14:textId="77777777" w:rsidR="00317F62" w:rsidRDefault="00000000">
      <w:r>
        <w:t xml:space="preserve">For much of medical history, the </w:t>
      </w:r>
      <w:r>
        <w:rPr>
          <w:b/>
          <w:highlight w:val="yellow"/>
        </w:rPr>
        <w:t>doctor-patient relationship</w:t>
      </w:r>
      <w:r>
        <w:t xml:space="preserve"> was built around an unequal exchange: the physician was expected to know, and the patient was expected to trust. That did not make every doctor authoritarian, but it did make medical decision-making largely physician-led.</w:t>
      </w:r>
    </w:p>
    <w:p w14:paraId="4010EF0C" w14:textId="77777777" w:rsidR="00317F62" w:rsidRDefault="00000000">
      <w:r>
        <w:t>Over the 20th century, that arrangement began to loosen. Medicine became more specialised, patients gained better access to information, and ideas of autonomy and informed consent moved closer to the centre of medical ethics. The change was gradual rather than a single turning point, but the expectation was different: the patient was no longer simply the recipient of a decision.</w:t>
      </w:r>
    </w:p>
    <w:p w14:paraId="64AF8496" w14:textId="77777777" w:rsidR="00317F62" w:rsidRDefault="00000000">
      <w:r>
        <w:t>That shift changed what a consultation meant. The doctor's expertise remained essential, but the patient's preferences, values and questions became part of the decision itself. In modern shared decision-making, a good consultation is not a vote between doctor and patient. It is a conversation in which clinical expertise and the patient's goals have to fit together.</w:t>
      </w:r>
    </w:p>
    <w:p w14:paraId="3C7E578B" w14:textId="77777777" w:rsidR="00317F62" w:rsidRDefault="00000000">
      <w:r>
        <w:t>The interesting part of the doctor-patient relationship is therefore not that one side replaced the other. It is that the relationship became more deliberate. Explaining a diagnosis, discussing options, checking understanding and making space for disagreement all became part of good care.</w:t>
      </w:r>
    </w:p>
    <w:p w14:paraId="55F13C4C" w14:textId="77777777" w:rsidR="00317F62" w:rsidRDefault="00000000">
      <w:r>
        <w:t>The consultation room may still have a desk, a computer and a prescription pad. But the relationship inside it has changed: the patient is increasingly there not just to be told what happens next, but to help decide it.</w:t>
      </w:r>
    </w:p>
    <w:p w14:paraId="22A3106B" w14:textId="77777777" w:rsidR="00317F62" w:rsidRDefault="00000000">
      <w:r>
        <w:rPr>
          <w:b/>
          <w:color w:val="2D9596"/>
          <w:sz w:val="19"/>
        </w:rPr>
        <w:t>THOUGHT WORTH KEEPING</w:t>
      </w:r>
    </w:p>
    <w:p w14:paraId="64B9A66C" w14:textId="77777777" w:rsidR="00317F62" w:rsidRDefault="00000000">
      <w:pPr>
        <w:jc w:val="center"/>
      </w:pPr>
      <w:r>
        <w:rPr>
          <w:i/>
          <w:sz w:val="22"/>
        </w:rPr>
        <w:t>“A consultation is richer when clinical expertise makes room for the person receiving it.”</w:t>
      </w:r>
    </w:p>
    <w:p w14:paraId="41325700" w14:textId="77777777" w:rsidR="00317F62" w:rsidRDefault="00000000">
      <w:r>
        <w:rPr>
          <w:b/>
          <w:color w:val="2D9596"/>
          <w:sz w:val="19"/>
        </w:rPr>
        <w:t>REFERENCES</w:t>
      </w:r>
    </w:p>
    <w:p w14:paraId="434065B4" w14:textId="77777777" w:rsidR="00317F62" w:rsidRDefault="00000000">
      <w:pPr>
        <w:ind w:left="170"/>
      </w:pPr>
      <w:r>
        <w:rPr>
          <w:sz w:val="18"/>
        </w:rPr>
        <w:t>PubMed. “Doctor-patient relationship: from medical paternalism to enhanced autonomy.”</w:t>
      </w:r>
      <w:r>
        <w:rPr>
          <w:sz w:val="18"/>
        </w:rPr>
        <w:br/>
        <w:t>https://pubmed.ncbi.nlm.nih.gov/12005343/</w:t>
      </w:r>
    </w:p>
    <w:p w14:paraId="188A87E7" w14:textId="77777777" w:rsidR="00317F62" w:rsidRDefault="00000000">
      <w:pPr>
        <w:ind w:left="170"/>
      </w:pPr>
      <w:r>
        <w:rPr>
          <w:sz w:val="18"/>
        </w:rPr>
        <w:t>PMC. “The Doctor as Parent, Partner, Provider... or Comrade? Distribution of Power in Past and Present Models of the Doctor-Patient Relationship.”</w:t>
      </w:r>
      <w:r>
        <w:rPr>
          <w:sz w:val="18"/>
        </w:rPr>
        <w:br/>
        <w:t>https://pmc.ncbi.nlm.nih.gov/articles/PMC8322008/</w:t>
      </w:r>
    </w:p>
    <w:p w14:paraId="158C76C5" w14:textId="77777777" w:rsidR="00317F62" w:rsidRDefault="00000000">
      <w:pPr>
        <w:ind w:left="170"/>
      </w:pPr>
      <w:r>
        <w:rPr>
          <w:sz w:val="18"/>
        </w:rPr>
        <w:t>PubMed. “From physician paternalism to patient autonomy: 25 centuries of history.”</w:t>
      </w:r>
      <w:r>
        <w:rPr>
          <w:sz w:val="18"/>
        </w:rPr>
        <w:br/>
        <w:t>https://pubmed.ncbi.nlm.nih.gov/39058424/</w:t>
      </w:r>
    </w:p>
    <w:p w14:paraId="48B532D7" w14:textId="77777777" w:rsidR="00317F62" w:rsidRDefault="00000000">
      <w:r>
        <w:br w:type="page"/>
      </w:r>
    </w:p>
    <w:p w14:paraId="6A6C42B0" w14:textId="77777777" w:rsidR="00317F62" w:rsidRDefault="00000000">
      <w:pPr>
        <w:jc w:val="center"/>
      </w:pPr>
      <w:r>
        <w:rPr>
          <w:b/>
          <w:sz w:val="38"/>
        </w:rPr>
        <w:lastRenderedPageBreak/>
        <w:t>Why the Hippocratic Oath Keeps Changing — and Why That Matters</w:t>
      </w:r>
    </w:p>
    <w:p w14:paraId="564738F2" w14:textId="77777777" w:rsidR="00317F62" w:rsidRDefault="00000000">
      <w:pPr>
        <w:jc w:val="center"/>
      </w:pPr>
      <w:r>
        <w:rPr>
          <w:i/>
          <w:color w:val="5E6669"/>
          <w:sz w:val="19"/>
        </w:rPr>
        <w:t>SEO keyword: Hippocratic oath</w:t>
      </w:r>
    </w:p>
    <w:p w14:paraId="0560820C" w14:textId="77777777" w:rsidR="00317F62" w:rsidRDefault="00000000">
      <w:r>
        <w:rPr>
          <w:b/>
        </w:rPr>
        <w:t>An ancient physician's promise is still recited in modern medicine - but not always in the same words.</w:t>
      </w:r>
    </w:p>
    <w:p w14:paraId="6269A993" w14:textId="77777777" w:rsidR="00317F62" w:rsidRDefault="00000000">
      <w:r>
        <w:t xml:space="preserve">The </w:t>
      </w:r>
      <w:r>
        <w:rPr>
          <w:b/>
          <w:highlight w:val="yellow"/>
        </w:rPr>
        <w:t>Hippocratic oath</w:t>
      </w:r>
      <w:r>
        <w:t xml:space="preserve"> was written for a world with no antibiotics, no MRI scanners and no modern hospital system. Yet some of its concerns still sound familiar: professional conduct, confidentiality and the obligation to treat patients responsibly.</w:t>
      </w:r>
    </w:p>
    <w:p w14:paraId="0A9B547B" w14:textId="77777777" w:rsidR="00317F62" w:rsidRDefault="00000000">
      <w:r>
        <w:t>The important part is that the oath itself has never been a frozen script for every generation of doctors. Medicine changed, societies changed, and the language of professional duty changed with them.</w:t>
      </w:r>
    </w:p>
    <w:p w14:paraId="0404B1A1" w14:textId="77777777" w:rsidR="00317F62" w:rsidRDefault="00000000">
      <w:r>
        <w:t>In 1948, the World Medical Association adopted the Declaration of Geneva as a modern physician's pledge. Later revisions continued to update it. The 2017 revision, for example, added explicit language on respecting patient autonomy and on physicians attending to their own health and well-being.</w:t>
      </w:r>
    </w:p>
    <w:p w14:paraId="431F10C8" w14:textId="77777777" w:rsidR="00317F62" w:rsidRDefault="00000000">
      <w:r>
        <w:t>That evolution is revealing. The profession did not abandon the old idea of a promise; it kept rewriting what the promise needed to contain. Confidentiality remained important. So did patient welfare. But modern medicine also had to make room for autonomy, dignity, equality and the physician's responsibility to practise with conscience.</w:t>
      </w:r>
    </w:p>
    <w:p w14:paraId="19D39157" w14:textId="77777777" w:rsidR="00317F62" w:rsidRDefault="00000000">
      <w:r>
        <w:t>That may be the enduring lesson of the Hippocratic oath: professional ethics are not useful because they never change. They are useful because each generation has to ask what its promises mean in the medicine of its own time.</w:t>
      </w:r>
    </w:p>
    <w:p w14:paraId="647B716C" w14:textId="77777777" w:rsidR="00317F62" w:rsidRDefault="00000000">
      <w:r>
        <w:t>The words have changed. The expectation behind them has not: medicine asks for skill, judgment and responsibility - and it asks them in public, as a profession.</w:t>
      </w:r>
    </w:p>
    <w:p w14:paraId="6EBB2CA0" w14:textId="77777777" w:rsidR="00317F62" w:rsidRDefault="00000000">
      <w:r>
        <w:rPr>
          <w:b/>
          <w:color w:val="2D9596"/>
          <w:sz w:val="19"/>
        </w:rPr>
        <w:t>THOUGHT WORTH KEEPING</w:t>
      </w:r>
    </w:p>
    <w:p w14:paraId="1DABE1A6" w14:textId="77777777" w:rsidR="00317F62" w:rsidRDefault="00000000">
      <w:pPr>
        <w:jc w:val="center"/>
      </w:pPr>
      <w:r>
        <w:rPr>
          <w:i/>
          <w:sz w:val="22"/>
        </w:rPr>
        <w:t>“Some promises endure by being rewritten, not by being left untouched.”</w:t>
      </w:r>
    </w:p>
    <w:p w14:paraId="65FC69F4" w14:textId="77777777" w:rsidR="00317F62" w:rsidRDefault="00000000">
      <w:r>
        <w:rPr>
          <w:b/>
          <w:color w:val="2D9596"/>
          <w:sz w:val="19"/>
        </w:rPr>
        <w:t>REFERENCES</w:t>
      </w:r>
    </w:p>
    <w:p w14:paraId="1F79AEE0" w14:textId="77777777" w:rsidR="00317F62" w:rsidRDefault="00000000">
      <w:pPr>
        <w:ind w:left="170"/>
      </w:pPr>
      <w:r>
        <w:rPr>
          <w:sz w:val="18"/>
        </w:rPr>
        <w:t>World Medical Association. “WMA Declaration of Geneva.”</w:t>
      </w:r>
      <w:r>
        <w:rPr>
          <w:sz w:val="18"/>
        </w:rPr>
        <w:br/>
        <w:t>https://www.wma.net/policies-post/wma-declaration-of-geneva/</w:t>
      </w:r>
    </w:p>
    <w:p w14:paraId="1A369D2C" w14:textId="77777777" w:rsidR="00317F62" w:rsidRDefault="00000000">
      <w:pPr>
        <w:ind w:left="170"/>
      </w:pPr>
      <w:r>
        <w:rPr>
          <w:sz w:val="18"/>
        </w:rPr>
        <w:t>JAMA. “The Revised Declaration of Geneva: A Modern-Day Physician's Pledge.”</w:t>
      </w:r>
      <w:r>
        <w:rPr>
          <w:sz w:val="18"/>
        </w:rPr>
        <w:br/>
        <w:t>https://jamanetwork.com/journals/jama/fullarticle/2658261</w:t>
      </w:r>
    </w:p>
    <w:p w14:paraId="3C3853A3" w14:textId="77777777" w:rsidR="00317F62" w:rsidRDefault="00000000">
      <w:pPr>
        <w:ind w:left="170"/>
      </w:pPr>
      <w:r>
        <w:rPr>
          <w:sz w:val="18"/>
        </w:rPr>
        <w:t>U.S. National Library of Medicine. “The Hippocratic Oath - Greek Medicine collection.”</w:t>
      </w:r>
      <w:r>
        <w:rPr>
          <w:sz w:val="18"/>
        </w:rPr>
        <w:br/>
        <w:t>https://www.nlm.nih.gov/hmd/greek/popup/16_hippo_oath.html</w:t>
      </w:r>
    </w:p>
    <w:p w14:paraId="57ED65F6" w14:textId="77777777" w:rsidR="00317F62" w:rsidRDefault="00000000">
      <w:r>
        <w:br w:type="page"/>
      </w:r>
    </w:p>
    <w:p w14:paraId="496D6EBA" w14:textId="77777777" w:rsidR="00317F62" w:rsidRDefault="00000000">
      <w:pPr>
        <w:jc w:val="center"/>
      </w:pPr>
      <w:r>
        <w:rPr>
          <w:b/>
          <w:sz w:val="38"/>
        </w:rPr>
        <w:lastRenderedPageBreak/>
        <w:t>Before HeLa: The Medical Ethics Question Behind a Scientific Breakthrough</w:t>
      </w:r>
    </w:p>
    <w:p w14:paraId="063D9FAE" w14:textId="77777777" w:rsidR="00317F62" w:rsidRDefault="00000000">
      <w:pPr>
        <w:jc w:val="center"/>
      </w:pPr>
      <w:r>
        <w:rPr>
          <w:i/>
          <w:color w:val="5E6669"/>
          <w:sz w:val="19"/>
        </w:rPr>
        <w:t>SEO keyword: medical ethics</w:t>
      </w:r>
    </w:p>
    <w:p w14:paraId="05237BFB" w14:textId="77777777" w:rsidR="00317F62" w:rsidRDefault="00000000">
      <w:r>
        <w:rPr>
          <w:b/>
        </w:rPr>
        <w:t>A scientific breakthrough can be extraordinary and still leave an uncomfortable question behind: did anyone ask the person at the centre of it?</w:t>
      </w:r>
    </w:p>
    <w:p w14:paraId="3D57EE47" w14:textId="77777777" w:rsidR="00317F62" w:rsidRDefault="00000000">
      <w:r>
        <w:t>In 1951, a young woman being treated for cervical cancer had tissue taken during her care for laboratory research. The cells behaved in a way researchers had struggled to achieve with human tissue: they kept growing outside the body.</w:t>
      </w:r>
    </w:p>
    <w:p w14:paraId="715CE611" w14:textId="77777777" w:rsidR="00317F62" w:rsidRDefault="00000000">
      <w:r>
        <w:t>They became one of the most influential human cell lines in biomedical research, later known as HeLa cells. They helped scientists investigate viruses, cancer and other areas of human biology, and their impact reached far beyond the laboratory where the cells first grew.</w:t>
      </w:r>
    </w:p>
    <w:p w14:paraId="13F316EF" w14:textId="77777777" w:rsidR="00317F62" w:rsidRDefault="00000000">
      <w:r>
        <w:t>But the scientific success carried an ethical problem with it. The tissue had been used for research without the patient's knowledge or consent. At the time, expectations around the use of human biospecimens were far less developed than they are today. As biomedical research expanded, questions about privacy, consent, ownership and the future use of human tissue became harder to ignore.</w:t>
      </w:r>
    </w:p>
    <w:p w14:paraId="6FC392EE" w14:textId="77777777" w:rsidR="00317F62" w:rsidRDefault="00000000">
      <w:r>
        <w:t xml:space="preserve">That is why the story belongs in </w:t>
      </w:r>
      <w:r>
        <w:rPr>
          <w:b/>
          <w:highlight w:val="yellow"/>
        </w:rPr>
        <w:t>medical ethics</w:t>
      </w:r>
      <w:r>
        <w:t>, not just in the history of science. The remarkable part is not only that the cells survived. It is that their enormous scientific value eventually forced medicine to think more carefully about the person behind a specimen.</w:t>
      </w:r>
    </w:p>
    <w:p w14:paraId="3CE8B8EF" w14:textId="77777777" w:rsidR="00317F62" w:rsidRDefault="00000000">
      <w:r>
        <w:t>Modern research frameworks are more attentive to informed consent, privacy and responsible stewardship of human biological material. The questions are still evolving, especially as genomic data can reveal information about both individuals and families.</w:t>
      </w:r>
    </w:p>
    <w:p w14:paraId="470B880F" w14:textId="77777777" w:rsidR="00317F62" w:rsidRDefault="00000000">
      <w:r>
        <w:t>The lesson is not to distrust research. It is to remember what research is built from: people, samples and trust.</w:t>
      </w:r>
    </w:p>
    <w:p w14:paraId="206F7C1F" w14:textId="77777777" w:rsidR="00317F62" w:rsidRDefault="00000000">
      <w:r>
        <w:rPr>
          <w:b/>
          <w:color w:val="2D9596"/>
          <w:sz w:val="19"/>
        </w:rPr>
        <w:t>THOUGHT WORTH KEEPING</w:t>
      </w:r>
    </w:p>
    <w:p w14:paraId="6FF96E7A" w14:textId="77777777" w:rsidR="00317F62" w:rsidRDefault="00000000">
      <w:pPr>
        <w:jc w:val="center"/>
      </w:pPr>
      <w:r>
        <w:rPr>
          <w:i/>
          <w:sz w:val="22"/>
        </w:rPr>
        <w:t>“Scientific progress is more meaningful when the person behind the specimen is kept in view.”</w:t>
      </w:r>
    </w:p>
    <w:p w14:paraId="4F102785" w14:textId="77777777" w:rsidR="00317F62" w:rsidRDefault="00000000">
      <w:r>
        <w:rPr>
          <w:b/>
          <w:color w:val="2D9596"/>
          <w:sz w:val="19"/>
        </w:rPr>
        <w:t>REFERENCES</w:t>
      </w:r>
    </w:p>
    <w:p w14:paraId="39C8F40E" w14:textId="77777777" w:rsidR="00317F62" w:rsidRDefault="00000000">
      <w:pPr>
        <w:ind w:left="170"/>
      </w:pPr>
      <w:r>
        <w:rPr>
          <w:sz w:val="18"/>
        </w:rPr>
        <w:t>NIH Office of Science Policy. “HeLa Cells: A Lasting Contribution to Biomedical Research.”</w:t>
      </w:r>
      <w:r>
        <w:rPr>
          <w:sz w:val="18"/>
        </w:rPr>
        <w:br/>
        <w:t>https://osp.od.nih.gov/hela-cells/</w:t>
      </w:r>
    </w:p>
    <w:p w14:paraId="6D4795A6" w14:textId="77777777" w:rsidR="00317F62" w:rsidRDefault="00000000">
      <w:pPr>
        <w:ind w:left="170"/>
      </w:pPr>
      <w:r>
        <w:rPr>
          <w:sz w:val="18"/>
        </w:rPr>
        <w:t>NIH. “HeLa Cell Whole Genome Sequence Data - Family Acknowledgement and Use.”</w:t>
      </w:r>
      <w:r>
        <w:rPr>
          <w:sz w:val="18"/>
        </w:rPr>
        <w:br/>
        <w:t>https://grants.nih.gov/grants/guide/notice-files/NOT-OD-24-098.html</w:t>
      </w:r>
    </w:p>
    <w:p w14:paraId="6E44F5F7" w14:textId="77777777" w:rsidR="00317F62" w:rsidRDefault="00000000">
      <w:pPr>
        <w:ind w:left="170"/>
      </w:pPr>
      <w:r>
        <w:rPr>
          <w:sz w:val="18"/>
        </w:rPr>
        <w:t>Annual Review / PMC. “Lessons from HeLa Cells: The Ethics and Policy of Biospecimens.”</w:t>
      </w:r>
      <w:r>
        <w:rPr>
          <w:sz w:val="18"/>
        </w:rPr>
        <w:br/>
        <w:t>https://pmc.ncbi.nlm.nih.gov/articles/PMC5072843/</w:t>
      </w:r>
    </w:p>
    <w:p w14:paraId="669CFDE3" w14:textId="77777777" w:rsidR="00317F62" w:rsidRDefault="00000000">
      <w:r>
        <w:br w:type="page"/>
      </w:r>
    </w:p>
    <w:p w14:paraId="2FC4E2BB" w14:textId="77777777" w:rsidR="00317F62" w:rsidRDefault="00000000">
      <w:pPr>
        <w:jc w:val="center"/>
      </w:pPr>
      <w:r>
        <w:rPr>
          <w:b/>
          <w:sz w:val="38"/>
        </w:rPr>
        <w:lastRenderedPageBreak/>
        <w:t>How Scientific Medical Illustration Helped Us See the Brain Differently</w:t>
      </w:r>
    </w:p>
    <w:p w14:paraId="2F3ADDAD" w14:textId="77777777" w:rsidR="00317F62" w:rsidRDefault="00000000">
      <w:pPr>
        <w:jc w:val="center"/>
      </w:pPr>
      <w:r>
        <w:rPr>
          <w:i/>
          <w:color w:val="5E6669"/>
          <w:sz w:val="19"/>
        </w:rPr>
        <w:t>SEO keyword: scientific medical illustration</w:t>
      </w:r>
    </w:p>
    <w:p w14:paraId="0057031A" w14:textId="77777777" w:rsidR="00317F62" w:rsidRDefault="00000000">
      <w:r>
        <w:rPr>
          <w:b/>
        </w:rPr>
        <w:t>Before the brain could be photographed in detail, one scientist drew what he saw - again and again, until the drawing itself became part of the discovery.</w:t>
      </w:r>
    </w:p>
    <w:p w14:paraId="251EBA57" w14:textId="77777777" w:rsidR="00317F62" w:rsidRDefault="00000000">
      <w:r>
        <w:t>Santiago Ramón y Cajal looked through a microscope at tissue that was difficult to interpret and did something unusually disciplined with what he saw: he drew it.</w:t>
      </w:r>
    </w:p>
    <w:p w14:paraId="26DF506F" w14:textId="77777777" w:rsidR="00317F62" w:rsidRDefault="00000000">
      <w:r>
        <w:t>His drawings were not decorative copies of microscopic slides. They were working scientific records, used to compare structures, test ideas and make arguments about how the nervous system was organised. The Museo Cajal today holds 1,434 pieces signed or attributed to Cajal in its digitised drawing collection.</w:t>
      </w:r>
    </w:p>
    <w:p w14:paraId="601D765C" w14:textId="77777777" w:rsidR="00317F62" w:rsidRDefault="00000000">
      <w:r>
        <w:t>Cajal used staining methods developed by others, including Camillo Golgi's silver staining technique, and pushed the observations further. His work supported the idea that the nervous system is made of individual nerve cells - neurons - rather than one uninterrupted network. In 1906, Cajal and Golgi shared the Nobel Prize in Physiology or Medicine for their work on the structure of the nervous system, despite disagreeing sharply about what their observations meant.</w:t>
      </w:r>
    </w:p>
    <w:p w14:paraId="65527E90" w14:textId="77777777" w:rsidR="00317F62" w:rsidRDefault="00000000">
      <w:r>
        <w:t>That disagreement is part of what makes the drawings so interesting. A scientific image does not automatically settle a question. Someone still has to decide what the pattern means.</w:t>
      </w:r>
    </w:p>
    <w:p w14:paraId="28CE3DAB" w14:textId="77777777" w:rsidR="00317F62" w:rsidRDefault="00000000">
      <w:r>
        <w:t xml:space="preserve">Cajal's contribution was therefore more than beautiful illustration. His </w:t>
      </w:r>
      <w:r>
        <w:rPr>
          <w:b/>
          <w:highlight w:val="yellow"/>
        </w:rPr>
        <w:t>scientific medical illustration</w:t>
      </w:r>
      <w:r>
        <w:t xml:space="preserve"> helped turn something almost impossible to describe in words into something other scientists could inspect, question and build upon.</w:t>
      </w:r>
    </w:p>
    <w:p w14:paraId="0B209D6B" w14:textId="77777777" w:rsidR="00317F62" w:rsidRDefault="00000000">
      <w:r>
        <w:t>Today we have digital microscopy, advanced imaging and software that can render biological structures in remarkable detail. But the underlying habit is much older: look closely, record carefully, and make the invisible easier for someone else to see.</w:t>
      </w:r>
    </w:p>
    <w:p w14:paraId="7D43D29B" w14:textId="77777777" w:rsidR="00317F62" w:rsidRDefault="00000000">
      <w:r>
        <w:rPr>
          <w:b/>
          <w:color w:val="2D9596"/>
          <w:sz w:val="19"/>
        </w:rPr>
        <w:t>THOUGHT WORTH KEEPING</w:t>
      </w:r>
    </w:p>
    <w:p w14:paraId="2DF3821D" w14:textId="77777777" w:rsidR="00317F62" w:rsidRDefault="00000000">
      <w:pPr>
        <w:jc w:val="center"/>
      </w:pPr>
      <w:r>
        <w:rPr>
          <w:i/>
          <w:sz w:val="22"/>
        </w:rPr>
        <w:t>“Sometimes the best way to make a discovery visible is to draw what no one else can yet see.”</w:t>
      </w:r>
    </w:p>
    <w:p w14:paraId="71D36B79" w14:textId="77777777" w:rsidR="00317F62" w:rsidRDefault="00000000">
      <w:r>
        <w:rPr>
          <w:b/>
          <w:color w:val="2D9596"/>
          <w:sz w:val="19"/>
        </w:rPr>
        <w:t>REFERENCES</w:t>
      </w:r>
    </w:p>
    <w:p w14:paraId="56CEF219" w14:textId="77777777" w:rsidR="00317F62" w:rsidRDefault="00000000">
      <w:pPr>
        <w:ind w:left="170"/>
      </w:pPr>
      <w:r>
        <w:rPr>
          <w:sz w:val="18"/>
        </w:rPr>
        <w:t>Museo Cajal / CSIC. “Cajal's Drawings - Drawing Room.”</w:t>
      </w:r>
      <w:r>
        <w:rPr>
          <w:sz w:val="18"/>
        </w:rPr>
        <w:br/>
        <w:t>https://www.santiagoramonycajal.org/en/museo-cajal/drawings/cajal/1/</w:t>
      </w:r>
    </w:p>
    <w:p w14:paraId="5C2A8DB6" w14:textId="77777777" w:rsidR="00317F62" w:rsidRDefault="00000000">
      <w:pPr>
        <w:ind w:left="170"/>
      </w:pPr>
      <w:r>
        <w:rPr>
          <w:sz w:val="18"/>
        </w:rPr>
        <w:t>Nobel Prize. “The Nobel Prize in Physiology or Medicine 1906.”</w:t>
      </w:r>
      <w:r>
        <w:rPr>
          <w:sz w:val="18"/>
        </w:rPr>
        <w:br/>
        <w:t>https://www.nobelprize.org/prizes/medicine/1906/summary/</w:t>
      </w:r>
    </w:p>
    <w:p w14:paraId="678B56C8" w14:textId="77777777" w:rsidR="00317F62" w:rsidRDefault="00000000">
      <w:pPr>
        <w:ind w:left="170"/>
      </w:pPr>
      <w:r>
        <w:rPr>
          <w:sz w:val="18"/>
        </w:rPr>
        <w:t>Nobel Prize. “Exposing the Forest - Cajal and Golgi.”</w:t>
      </w:r>
      <w:r>
        <w:rPr>
          <w:sz w:val="18"/>
        </w:rPr>
        <w:br/>
        <w:t>https://www.nobelprize.org/nobel_prizes/medicine/laureates/1906/speedread.html</w:t>
      </w:r>
    </w:p>
    <w:sectPr w:rsidR="00317F62"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3398">
    <w:abstractNumId w:val="8"/>
  </w:num>
  <w:num w:numId="2" w16cid:durableId="270867371">
    <w:abstractNumId w:val="6"/>
  </w:num>
  <w:num w:numId="3" w16cid:durableId="680744101">
    <w:abstractNumId w:val="5"/>
  </w:num>
  <w:num w:numId="4" w16cid:durableId="718240874">
    <w:abstractNumId w:val="4"/>
  </w:num>
  <w:num w:numId="5" w16cid:durableId="1462189559">
    <w:abstractNumId w:val="7"/>
  </w:num>
  <w:num w:numId="6" w16cid:durableId="332074760">
    <w:abstractNumId w:val="3"/>
  </w:num>
  <w:num w:numId="7" w16cid:durableId="876430830">
    <w:abstractNumId w:val="2"/>
  </w:num>
  <w:num w:numId="8" w16cid:durableId="1116565577">
    <w:abstractNumId w:val="1"/>
  </w:num>
  <w:num w:numId="9" w16cid:durableId="75066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F62"/>
    <w:rsid w:val="00326F90"/>
    <w:rsid w:val="003B5EA0"/>
    <w:rsid w:val="005E7600"/>
    <w:rsid w:val="00917E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503B2"/>
  <w14:defaultImageDpi w14:val="300"/>
  <w15:docId w15:val="{4A0EEF17-BDFE-4C10-9DCD-48C4EB93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1718</Words>
  <Characters>9794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CY2107_Tikshana Shah || CoverPrime || Gurgaon</cp:lastModifiedBy>
  <cp:revision>2</cp:revision>
  <dcterms:created xsi:type="dcterms:W3CDTF">2013-12-23T23:15:00Z</dcterms:created>
  <dcterms:modified xsi:type="dcterms:W3CDTF">2026-09-04T10:16:00Z</dcterms:modified>
  <cp:category/>
</cp:coreProperties>
</file>