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46A" w:rsidRDefault="0083046A">
      <w:pPr>
        <w:pStyle w:val="ConsPlusNormal"/>
        <w:jc w:val="right"/>
      </w:pPr>
      <w:bookmarkStart w:id="0" w:name="_GoBack"/>
      <w:bookmarkEnd w:id="0"/>
      <w:r>
        <w:t>Информационная карта</w:t>
      </w:r>
    </w:p>
    <w:p w:rsidR="0083046A" w:rsidRDefault="0083046A">
      <w:pPr>
        <w:pStyle w:val="ConsPlusNormal"/>
        <w:jc w:val="right"/>
      </w:pPr>
      <w:r>
        <w:t>электронного аукциона</w:t>
      </w:r>
    </w:p>
    <w:p w:rsidR="0083046A" w:rsidRDefault="0083046A">
      <w:pPr>
        <w:pStyle w:val="ConsPlusNormal"/>
        <w:jc w:val="both"/>
      </w:pPr>
    </w:p>
    <w:p w:rsidR="0083046A" w:rsidRDefault="0083046A">
      <w:pPr>
        <w:pStyle w:val="ConsPlusNormal"/>
        <w:jc w:val="center"/>
      </w:pPr>
      <w:r>
        <w:rPr>
          <w:b/>
        </w:rPr>
        <w:t>ОБРАЗЕЦ</w:t>
      </w:r>
    </w:p>
    <w:p w:rsidR="0083046A" w:rsidRDefault="0083046A">
      <w:pPr>
        <w:pStyle w:val="ConsPlusNormal"/>
        <w:jc w:val="both"/>
      </w:pPr>
    </w:p>
    <w:p w:rsidR="0083046A" w:rsidRDefault="0083046A">
      <w:pPr>
        <w:pStyle w:val="ConsPlusNormal"/>
        <w:jc w:val="center"/>
      </w:pPr>
      <w:r>
        <w:rPr>
          <w:b/>
        </w:rPr>
        <w:t>ИНФОРМАЦИОННАЯ КАРТА</w:t>
      </w:r>
    </w:p>
    <w:p w:rsidR="0083046A" w:rsidRDefault="0083046A">
      <w:pPr>
        <w:pStyle w:val="ConsPlusNormal"/>
        <w:jc w:val="center"/>
      </w:pPr>
      <w:r>
        <w:rPr>
          <w:b/>
        </w:rPr>
        <w:t>ДОКУМЕНТАЦИИ ОБ ЭЛЕКТРОННОМ АУКЦИОНЕ</w:t>
      </w:r>
    </w:p>
    <w:p w:rsidR="0083046A" w:rsidRDefault="0083046A">
      <w:pPr>
        <w:pStyle w:val="ConsPlusNormal"/>
        <w:jc w:val="both"/>
      </w:pP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835"/>
        <w:gridCol w:w="6236"/>
      </w:tblGrid>
      <w:tr w:rsidR="0083046A">
        <w:tc>
          <w:tcPr>
            <w:tcW w:w="2835" w:type="dxa"/>
          </w:tcPr>
          <w:p w:rsidR="0083046A" w:rsidRDefault="0083046A">
            <w:pPr>
              <w:pStyle w:val="ConsPlusNormal"/>
              <w:jc w:val="center"/>
            </w:pPr>
            <w:r>
              <w:t>Краткое наименование аукциона:</w:t>
            </w:r>
          </w:p>
        </w:tc>
        <w:tc>
          <w:tcPr>
            <w:tcW w:w="6236" w:type="dxa"/>
          </w:tcPr>
          <w:p w:rsidR="0083046A" w:rsidRDefault="0083046A">
            <w:pPr>
              <w:pStyle w:val="ConsPlusNormal"/>
              <w:jc w:val="center"/>
            </w:pPr>
            <w:r>
              <w:t>работы по замене тротуарного покрытия</w:t>
            </w:r>
          </w:p>
        </w:tc>
      </w:tr>
      <w:tr w:rsidR="0083046A">
        <w:tc>
          <w:tcPr>
            <w:tcW w:w="2835" w:type="dxa"/>
          </w:tcPr>
          <w:p w:rsidR="0083046A" w:rsidRDefault="0083046A">
            <w:pPr>
              <w:pStyle w:val="ConsPlusNormal"/>
            </w:pPr>
            <w:r>
              <w:t>Способ определения поставщика (подрядчика, исполнителя):</w:t>
            </w:r>
          </w:p>
        </w:tc>
        <w:tc>
          <w:tcPr>
            <w:tcW w:w="6236" w:type="dxa"/>
          </w:tcPr>
          <w:p w:rsidR="0083046A" w:rsidRDefault="0083046A">
            <w:pPr>
              <w:pStyle w:val="ConsPlusNormal"/>
            </w:pPr>
            <w:r>
              <w:t>электронный аукцион</w:t>
            </w:r>
          </w:p>
        </w:tc>
      </w:tr>
      <w:tr w:rsidR="0083046A">
        <w:tc>
          <w:tcPr>
            <w:tcW w:w="2835" w:type="dxa"/>
          </w:tcPr>
          <w:p w:rsidR="0083046A" w:rsidRDefault="0083046A">
            <w:pPr>
              <w:pStyle w:val="ConsPlusNormal"/>
            </w:pPr>
            <w:r>
              <w:t>Электронный аукцион будет проводиться на электронной площадке в сети Интернет по следующему адресу:</w:t>
            </w:r>
          </w:p>
        </w:tc>
        <w:tc>
          <w:tcPr>
            <w:tcW w:w="6236" w:type="dxa"/>
          </w:tcPr>
          <w:p w:rsidR="0083046A" w:rsidRDefault="0083046A">
            <w:pPr>
              <w:pStyle w:val="ConsPlusNormal"/>
            </w:pPr>
            <w:r>
              <w:t>www.sberbank-ast.ru (ЗАО "Сбербанк - Автоматизированная Система Торгов")</w:t>
            </w:r>
          </w:p>
        </w:tc>
      </w:tr>
      <w:tr w:rsidR="0083046A">
        <w:tc>
          <w:tcPr>
            <w:tcW w:w="2835" w:type="dxa"/>
          </w:tcPr>
          <w:p w:rsidR="0083046A" w:rsidRDefault="0083046A">
            <w:pPr>
              <w:pStyle w:val="ConsPlusNormal"/>
            </w:pPr>
            <w:r>
              <w:t>Заказчик:</w:t>
            </w:r>
          </w:p>
        </w:tc>
        <w:tc>
          <w:tcPr>
            <w:tcW w:w="6236" w:type="dxa"/>
          </w:tcPr>
          <w:p w:rsidR="0083046A" w:rsidRDefault="0083046A">
            <w:pPr>
              <w:pStyle w:val="ConsPlusNormal"/>
            </w:pPr>
            <w:r>
              <w:t>_______________ (наименование заказчика)</w:t>
            </w:r>
          </w:p>
        </w:tc>
      </w:tr>
      <w:tr w:rsidR="0083046A">
        <w:tc>
          <w:tcPr>
            <w:tcW w:w="2835" w:type="dxa"/>
          </w:tcPr>
          <w:p w:rsidR="0083046A" w:rsidRDefault="0083046A">
            <w:pPr>
              <w:pStyle w:val="ConsPlusNormal"/>
            </w:pPr>
            <w:r>
              <w:t>Место нахождения:</w:t>
            </w:r>
          </w:p>
        </w:tc>
        <w:tc>
          <w:tcPr>
            <w:tcW w:w="6236" w:type="dxa"/>
          </w:tcPr>
          <w:p w:rsidR="0083046A" w:rsidRDefault="0083046A">
            <w:pPr>
              <w:pStyle w:val="ConsPlusNormal"/>
            </w:pPr>
            <w:r>
              <w:t xml:space="preserve">123456, г. </w:t>
            </w:r>
            <w:proofErr w:type="spellStart"/>
            <w:r>
              <w:t>Энск</w:t>
            </w:r>
            <w:proofErr w:type="spellEnd"/>
            <w:r>
              <w:t>, Ленинский проспект, д. 175</w:t>
            </w:r>
          </w:p>
        </w:tc>
      </w:tr>
      <w:tr w:rsidR="0083046A">
        <w:tc>
          <w:tcPr>
            <w:tcW w:w="2835" w:type="dxa"/>
          </w:tcPr>
          <w:p w:rsidR="0083046A" w:rsidRDefault="0083046A">
            <w:pPr>
              <w:pStyle w:val="ConsPlusNormal"/>
            </w:pPr>
            <w:r>
              <w:t>Почтовый адрес:</w:t>
            </w:r>
          </w:p>
        </w:tc>
        <w:tc>
          <w:tcPr>
            <w:tcW w:w="6236" w:type="dxa"/>
          </w:tcPr>
          <w:p w:rsidR="0083046A" w:rsidRDefault="0083046A">
            <w:pPr>
              <w:pStyle w:val="ConsPlusNormal"/>
            </w:pPr>
            <w:r>
              <w:t xml:space="preserve">123456, г. </w:t>
            </w:r>
            <w:proofErr w:type="spellStart"/>
            <w:r>
              <w:t>Энск</w:t>
            </w:r>
            <w:proofErr w:type="spellEnd"/>
            <w:r>
              <w:t>, Ленинский проспект, д. 175</w:t>
            </w:r>
          </w:p>
        </w:tc>
      </w:tr>
      <w:tr w:rsidR="0083046A">
        <w:tc>
          <w:tcPr>
            <w:tcW w:w="2835" w:type="dxa"/>
          </w:tcPr>
          <w:p w:rsidR="0083046A" w:rsidRDefault="0083046A">
            <w:pPr>
              <w:pStyle w:val="ConsPlusNormal"/>
            </w:pPr>
            <w:r>
              <w:t>Телефон:</w:t>
            </w:r>
          </w:p>
        </w:tc>
        <w:tc>
          <w:tcPr>
            <w:tcW w:w="6236" w:type="dxa"/>
          </w:tcPr>
          <w:p w:rsidR="0083046A" w:rsidRDefault="0083046A">
            <w:pPr>
              <w:pStyle w:val="ConsPlusNormal"/>
            </w:pPr>
            <w:r>
              <w:t>+7 (0000) 562204</w:t>
            </w:r>
          </w:p>
        </w:tc>
      </w:tr>
      <w:tr w:rsidR="0083046A">
        <w:tc>
          <w:tcPr>
            <w:tcW w:w="2835" w:type="dxa"/>
          </w:tcPr>
          <w:p w:rsidR="0083046A" w:rsidRDefault="0083046A">
            <w:pPr>
              <w:pStyle w:val="ConsPlusNormal"/>
            </w:pPr>
            <w:r>
              <w:t>Адрес электронной почты:</w:t>
            </w:r>
          </w:p>
        </w:tc>
        <w:tc>
          <w:tcPr>
            <w:tcW w:w="6236" w:type="dxa"/>
          </w:tcPr>
          <w:p w:rsidR="0083046A" w:rsidRDefault="0083046A">
            <w:pPr>
              <w:pStyle w:val="ConsPlusNormal"/>
            </w:pPr>
            <w:r>
              <w:t>e-</w:t>
            </w:r>
            <w:proofErr w:type="spellStart"/>
            <w:r>
              <w:t>mail</w:t>
            </w:r>
            <w:proofErr w:type="spellEnd"/>
            <w:r>
              <w:t>: 0000@rambler.ru</w:t>
            </w:r>
          </w:p>
        </w:tc>
      </w:tr>
      <w:tr w:rsidR="0083046A">
        <w:tc>
          <w:tcPr>
            <w:tcW w:w="2835" w:type="dxa"/>
          </w:tcPr>
          <w:p w:rsidR="0083046A" w:rsidRDefault="0083046A">
            <w:pPr>
              <w:pStyle w:val="ConsPlusNormal"/>
            </w:pPr>
            <w:r>
              <w:t>Ответственное должностное лицо заказчика:</w:t>
            </w:r>
          </w:p>
        </w:tc>
        <w:tc>
          <w:tcPr>
            <w:tcW w:w="6236" w:type="dxa"/>
          </w:tcPr>
          <w:p w:rsidR="0083046A" w:rsidRDefault="0083046A">
            <w:pPr>
              <w:pStyle w:val="ConsPlusNormal"/>
            </w:pPr>
            <w:r>
              <w:t>Волков Иван Александрович</w:t>
            </w:r>
          </w:p>
        </w:tc>
      </w:tr>
      <w:tr w:rsidR="0083046A">
        <w:tc>
          <w:tcPr>
            <w:tcW w:w="2835" w:type="dxa"/>
          </w:tcPr>
          <w:p w:rsidR="0083046A" w:rsidRDefault="0083046A">
            <w:pPr>
              <w:pStyle w:val="ConsPlusNormal"/>
            </w:pPr>
            <w:r>
              <w:t>Специализированная организация:</w:t>
            </w:r>
          </w:p>
        </w:tc>
        <w:tc>
          <w:tcPr>
            <w:tcW w:w="6236" w:type="dxa"/>
          </w:tcPr>
          <w:p w:rsidR="0083046A" w:rsidRDefault="0083046A">
            <w:pPr>
              <w:pStyle w:val="ConsPlusNormal"/>
            </w:pPr>
            <w:r>
              <w:t>не привлекается</w:t>
            </w:r>
          </w:p>
        </w:tc>
      </w:tr>
      <w:tr w:rsidR="0083046A">
        <w:tc>
          <w:tcPr>
            <w:tcW w:w="2835" w:type="dxa"/>
          </w:tcPr>
          <w:p w:rsidR="0083046A" w:rsidRDefault="0083046A">
            <w:pPr>
              <w:pStyle w:val="ConsPlusNormal"/>
            </w:pPr>
            <w:r>
              <w:t>Наименование объекта закупки:</w:t>
            </w:r>
          </w:p>
        </w:tc>
        <w:tc>
          <w:tcPr>
            <w:tcW w:w="6236" w:type="dxa"/>
          </w:tcPr>
          <w:p w:rsidR="0083046A" w:rsidRDefault="0083046A">
            <w:pPr>
              <w:pStyle w:val="ConsPlusNormal"/>
            </w:pPr>
            <w:r>
              <w:t>работы по замене тротуарного покрытия</w:t>
            </w:r>
          </w:p>
        </w:tc>
      </w:tr>
      <w:tr w:rsidR="0083046A">
        <w:tc>
          <w:tcPr>
            <w:tcW w:w="2835" w:type="dxa"/>
          </w:tcPr>
          <w:p w:rsidR="0083046A" w:rsidRDefault="0083046A">
            <w:pPr>
              <w:pStyle w:val="ConsPlusNormal"/>
            </w:pPr>
            <w:r>
              <w:t>Классификация товаров, работ, услуг:</w:t>
            </w:r>
          </w:p>
        </w:tc>
        <w:tc>
          <w:tcPr>
            <w:tcW w:w="6236" w:type="dxa"/>
          </w:tcPr>
          <w:p w:rsidR="0083046A" w:rsidRDefault="0083046A">
            <w:pPr>
              <w:pStyle w:val="ConsPlusNormal"/>
            </w:pPr>
            <w:hyperlink r:id="rId5" w:history="1">
              <w:r>
                <w:rPr>
                  <w:color w:val="0000FF"/>
                </w:rPr>
                <w:t>42.11</w:t>
              </w:r>
            </w:hyperlink>
            <w:r>
              <w:t xml:space="preserve"> "Строительство автомобильных дорог и автомагистралей"</w:t>
            </w:r>
          </w:p>
        </w:tc>
      </w:tr>
      <w:tr w:rsidR="0083046A">
        <w:tc>
          <w:tcPr>
            <w:tcW w:w="2835" w:type="dxa"/>
          </w:tcPr>
          <w:p w:rsidR="0083046A" w:rsidRDefault="0083046A">
            <w:pPr>
              <w:pStyle w:val="ConsPlusNormal"/>
            </w:pPr>
            <w:r>
              <w:t>Код бюджетной классификации (глава, раздел (подраздел), целевая статья, вид расходов, КОСГУ):</w:t>
            </w:r>
          </w:p>
        </w:tc>
        <w:tc>
          <w:tcPr>
            <w:tcW w:w="6236" w:type="dxa"/>
          </w:tcPr>
          <w:p w:rsidR="0083046A" w:rsidRDefault="0083046A">
            <w:pPr>
              <w:pStyle w:val="ConsPlusNormal"/>
            </w:pPr>
            <w:r>
              <w:t xml:space="preserve">802.0702.4239900.612.225 </w:t>
            </w:r>
            <w:hyperlink w:anchor="P154" w:history="1">
              <w:r>
                <w:rPr>
                  <w:color w:val="0000FF"/>
                </w:rPr>
                <w:t>&lt;1&gt;</w:t>
              </w:r>
            </w:hyperlink>
          </w:p>
        </w:tc>
      </w:tr>
      <w:tr w:rsidR="0083046A">
        <w:tc>
          <w:tcPr>
            <w:tcW w:w="2835" w:type="dxa"/>
          </w:tcPr>
          <w:p w:rsidR="0083046A" w:rsidRDefault="0083046A">
            <w:pPr>
              <w:pStyle w:val="ConsPlusNormal"/>
            </w:pPr>
            <w:r>
              <w:t>Описание объекта закупки:</w:t>
            </w:r>
          </w:p>
        </w:tc>
        <w:tc>
          <w:tcPr>
            <w:tcW w:w="6236" w:type="dxa"/>
          </w:tcPr>
          <w:p w:rsidR="0083046A" w:rsidRDefault="0083046A">
            <w:pPr>
              <w:pStyle w:val="ConsPlusNormal"/>
            </w:pPr>
            <w:r>
              <w:t>выполнение работ по разборке плит на тротуаре с последующим устройством покрытия из тротуарной плитки площадью 502 кв. м, установкой бордюра в соответствии с техническим заданием.</w:t>
            </w:r>
          </w:p>
          <w:p w:rsidR="0083046A" w:rsidRDefault="0083046A">
            <w:pPr>
              <w:pStyle w:val="ConsPlusNormal"/>
            </w:pPr>
            <w:r>
              <w:t xml:space="preserve">К закупаемой продукции не применяются запреты, ограничения на допуск и его условия, устанавливаемые в соответствии со </w:t>
            </w:r>
            <w:hyperlink r:id="rId6" w:history="1">
              <w:r>
                <w:rPr>
                  <w:color w:val="0000FF"/>
                </w:rPr>
                <w:t>ст. 14</w:t>
              </w:r>
            </w:hyperlink>
            <w:r>
              <w:t xml:space="preserve"> Федерального закона от 05.04.2013 N 44-ФЗ "О контрактной </w:t>
            </w:r>
            <w:r>
              <w:lastRenderedPageBreak/>
              <w:t xml:space="preserve">системе в сфере закупок товаров, работ, услуг для обеспечения государственных и муниципальных нужд" (далее - Закон N 44-ФЗ). Требования энергетической эффективности товаров, работ, услуг, предусмотренные Федеральным </w:t>
            </w:r>
            <w:hyperlink r:id="rId7" w:history="1">
              <w:r>
                <w:rPr>
                  <w:color w:val="0000FF"/>
                </w:rPr>
                <w:t>законом</w:t>
              </w:r>
            </w:hyperlink>
            <w:r>
              <w:t xml:space="preserve"> от 23.11.2009 N 261-ФЗ "Об энергосбережении и о повышении энергетической эффективности и о внесении изменений в отдельные законодательные акты Российской Федерации", не установлены. Технические характеристики тротуарной плитки (брусчатки):</w:t>
            </w:r>
          </w:p>
          <w:p w:rsidR="0083046A" w:rsidRDefault="0083046A">
            <w:pPr>
              <w:pStyle w:val="ConsPlusNormal"/>
            </w:pPr>
            <w:r>
              <w:t>- прочность при сжатии - не менее В30,0 (М400);</w:t>
            </w:r>
          </w:p>
          <w:p w:rsidR="0083046A" w:rsidRDefault="0083046A">
            <w:pPr>
              <w:pStyle w:val="ConsPlusNormal"/>
            </w:pPr>
            <w:r>
              <w:t>- морозостойкость - не менее F200;</w:t>
            </w:r>
          </w:p>
          <w:p w:rsidR="0083046A" w:rsidRDefault="0083046A">
            <w:pPr>
              <w:pStyle w:val="ConsPlusNormal"/>
            </w:pPr>
            <w:r>
              <w:t xml:space="preserve">- </w:t>
            </w:r>
            <w:proofErr w:type="spellStart"/>
            <w:r>
              <w:t>водопоглощение</w:t>
            </w:r>
            <w:proofErr w:type="spellEnd"/>
            <w:r>
              <w:t xml:space="preserve"> - не более 5%;</w:t>
            </w:r>
          </w:p>
          <w:p w:rsidR="0083046A" w:rsidRDefault="0083046A">
            <w:pPr>
              <w:pStyle w:val="ConsPlusNormal"/>
            </w:pPr>
            <w:r>
              <w:t xml:space="preserve">- </w:t>
            </w:r>
            <w:proofErr w:type="spellStart"/>
            <w:r>
              <w:t>истираемость</w:t>
            </w:r>
            <w:proofErr w:type="spellEnd"/>
            <w:r>
              <w:t xml:space="preserve"> - не более 0,7 г/кв. см</w:t>
            </w:r>
          </w:p>
        </w:tc>
      </w:tr>
      <w:tr w:rsidR="0083046A">
        <w:tc>
          <w:tcPr>
            <w:tcW w:w="2835" w:type="dxa"/>
          </w:tcPr>
          <w:p w:rsidR="0083046A" w:rsidRDefault="0083046A">
            <w:pPr>
              <w:pStyle w:val="ConsPlusNormal"/>
            </w:pPr>
            <w:r>
              <w:lastRenderedPageBreak/>
              <w:t>Количество поставляемого товара, объем выполняемых работ, оказываемых услуг:</w:t>
            </w:r>
          </w:p>
        </w:tc>
        <w:tc>
          <w:tcPr>
            <w:tcW w:w="6236" w:type="dxa"/>
          </w:tcPr>
          <w:p w:rsidR="0083046A" w:rsidRDefault="0083046A">
            <w:pPr>
              <w:pStyle w:val="ConsPlusNormal"/>
            </w:pPr>
            <w:r>
              <w:t xml:space="preserve">состав и объем работ, подлежащих выполнению, определяется в соответствии с техническим заданием, локальным сметным расчетом, проверенным в установленном порядке в МКУ "Агентство по муниципальному заказу ЖКХ" г. </w:t>
            </w:r>
            <w:proofErr w:type="spellStart"/>
            <w:r>
              <w:t>Энска</w:t>
            </w:r>
            <w:proofErr w:type="spellEnd"/>
            <w:r>
              <w:t>, и планом благоустройства, который является неотъемлемой часть документации об аукционе</w:t>
            </w:r>
          </w:p>
        </w:tc>
      </w:tr>
      <w:tr w:rsidR="0083046A">
        <w:tc>
          <w:tcPr>
            <w:tcW w:w="2835" w:type="dxa"/>
          </w:tcPr>
          <w:p w:rsidR="0083046A" w:rsidRDefault="0083046A">
            <w:pPr>
              <w:pStyle w:val="ConsPlusNormal"/>
            </w:pPr>
            <w:r>
              <w:t>Требования к сроку предоставления гарантий качества работ:</w:t>
            </w:r>
          </w:p>
        </w:tc>
        <w:tc>
          <w:tcPr>
            <w:tcW w:w="6236" w:type="dxa"/>
          </w:tcPr>
          <w:p w:rsidR="0083046A" w:rsidRDefault="0083046A">
            <w:pPr>
              <w:pStyle w:val="ConsPlusNormal"/>
            </w:pPr>
            <w:r>
              <w:t xml:space="preserve">гарантийный срок на работы, которые выполняются по контракту, устанавливается 36 месяцев с момента подписания актов о приемке выполненных работ </w:t>
            </w:r>
            <w:hyperlink r:id="rId8" w:history="1">
              <w:r>
                <w:rPr>
                  <w:color w:val="0000FF"/>
                </w:rPr>
                <w:t>(форма N КС-2)</w:t>
              </w:r>
            </w:hyperlink>
            <w:r>
              <w:t xml:space="preserve"> и справок о стоимости выполненных работ и затрат </w:t>
            </w:r>
            <w:hyperlink r:id="rId9" w:history="1">
              <w:r>
                <w:rPr>
                  <w:color w:val="0000FF"/>
                </w:rPr>
                <w:t>(форма N КС-3)</w:t>
              </w:r>
            </w:hyperlink>
          </w:p>
        </w:tc>
      </w:tr>
      <w:tr w:rsidR="0083046A">
        <w:tc>
          <w:tcPr>
            <w:tcW w:w="2835" w:type="dxa"/>
          </w:tcPr>
          <w:p w:rsidR="0083046A" w:rsidRDefault="0083046A">
            <w:pPr>
              <w:pStyle w:val="ConsPlusNormal"/>
            </w:pPr>
            <w:r>
              <w:t>Требования к объему предоставления гарантий качества работ:</w:t>
            </w:r>
          </w:p>
        </w:tc>
        <w:tc>
          <w:tcPr>
            <w:tcW w:w="6236" w:type="dxa"/>
          </w:tcPr>
          <w:p w:rsidR="0083046A" w:rsidRDefault="0083046A">
            <w:pPr>
              <w:pStyle w:val="ConsPlusNormal"/>
            </w:pPr>
            <w:r>
              <w:t xml:space="preserve">гарантия распространяется на весь объем выполненных работ. Выявленные в течение гарантийного срока дефекты, допущенные по вине подрядчика, устраняются подрядчиком за свой счет в сроки, определенные совместно с заказчиком. Течение гарантийного срока прерывается на все время, на протяжении которого муниципальное образовательное учреждение дополнительного образования детей "Детская хоровая школа г. </w:t>
            </w:r>
            <w:proofErr w:type="spellStart"/>
            <w:r>
              <w:t>Энска</w:t>
            </w:r>
            <w:proofErr w:type="spellEnd"/>
            <w:r>
              <w:t>" не могло функционировать вследствие дефектов, за которые отвечает подрядчик</w:t>
            </w:r>
          </w:p>
        </w:tc>
      </w:tr>
      <w:tr w:rsidR="0083046A">
        <w:tc>
          <w:tcPr>
            <w:tcW w:w="2835" w:type="dxa"/>
          </w:tcPr>
          <w:p w:rsidR="0083046A" w:rsidRDefault="0083046A">
            <w:pPr>
              <w:pStyle w:val="ConsPlusNormal"/>
            </w:pPr>
            <w:r>
              <w:t>Место поставки товара, выполнения работ, оказания услуг:</w:t>
            </w:r>
          </w:p>
        </w:tc>
        <w:tc>
          <w:tcPr>
            <w:tcW w:w="6236" w:type="dxa"/>
          </w:tcPr>
          <w:p w:rsidR="0083046A" w:rsidRDefault="0083046A">
            <w:pPr>
              <w:pStyle w:val="ConsPlusNormal"/>
            </w:pPr>
            <w:r>
              <w:t xml:space="preserve">г. </w:t>
            </w:r>
            <w:proofErr w:type="spellStart"/>
            <w:r>
              <w:t>Энск</w:t>
            </w:r>
            <w:proofErr w:type="spellEnd"/>
            <w:r>
              <w:t>, Ленинский проспект, д. 175</w:t>
            </w:r>
          </w:p>
        </w:tc>
      </w:tr>
      <w:tr w:rsidR="0083046A">
        <w:tc>
          <w:tcPr>
            <w:tcW w:w="2835" w:type="dxa"/>
          </w:tcPr>
          <w:p w:rsidR="0083046A" w:rsidRDefault="0083046A">
            <w:pPr>
              <w:pStyle w:val="ConsPlusNormal"/>
            </w:pPr>
            <w:r>
              <w:t>Срок поставки товара, завершения выполнения работ, оказания услуг:</w:t>
            </w:r>
          </w:p>
        </w:tc>
        <w:tc>
          <w:tcPr>
            <w:tcW w:w="6236" w:type="dxa"/>
          </w:tcPr>
          <w:p w:rsidR="0083046A" w:rsidRDefault="0083046A">
            <w:pPr>
              <w:pStyle w:val="ConsPlusNormal"/>
            </w:pPr>
            <w:r>
              <w:t>в течение 30 дней с момента заключения контракта</w:t>
            </w:r>
          </w:p>
        </w:tc>
      </w:tr>
      <w:tr w:rsidR="0083046A">
        <w:tc>
          <w:tcPr>
            <w:tcW w:w="2835" w:type="dxa"/>
          </w:tcPr>
          <w:p w:rsidR="0083046A" w:rsidRDefault="0083046A">
            <w:pPr>
              <w:pStyle w:val="ConsPlusNormal"/>
            </w:pPr>
            <w:r>
              <w:t>Начальная (максимальная) цена контракта:</w:t>
            </w:r>
          </w:p>
        </w:tc>
        <w:tc>
          <w:tcPr>
            <w:tcW w:w="6236" w:type="dxa"/>
          </w:tcPr>
          <w:p w:rsidR="0083046A" w:rsidRDefault="0083046A">
            <w:pPr>
              <w:pStyle w:val="ConsPlusNormal"/>
            </w:pPr>
            <w:r>
              <w:t>713 726, российский рубль</w:t>
            </w:r>
          </w:p>
        </w:tc>
      </w:tr>
      <w:tr w:rsidR="0083046A">
        <w:tc>
          <w:tcPr>
            <w:tcW w:w="2835" w:type="dxa"/>
          </w:tcPr>
          <w:p w:rsidR="0083046A" w:rsidRDefault="0083046A">
            <w:pPr>
              <w:pStyle w:val="ConsPlusNormal"/>
            </w:pPr>
            <w:r>
              <w:t>Обоснование начальной (максимальной) цены контракта:</w:t>
            </w:r>
          </w:p>
        </w:tc>
        <w:tc>
          <w:tcPr>
            <w:tcW w:w="6236" w:type="dxa"/>
          </w:tcPr>
          <w:p w:rsidR="0083046A" w:rsidRDefault="0083046A">
            <w:pPr>
              <w:pStyle w:val="ConsPlusNormal"/>
            </w:pPr>
            <w:r>
              <w:t>начальная (максимальная) цена контракта на выполнение работ по замене тротуарного покрытия определяется локальным сметным расчетом (Приложение N 1 к техническому заданию) и составляет 713 726 руб. 00 коп.</w:t>
            </w:r>
          </w:p>
        </w:tc>
      </w:tr>
      <w:tr w:rsidR="0083046A">
        <w:tc>
          <w:tcPr>
            <w:tcW w:w="2835" w:type="dxa"/>
          </w:tcPr>
          <w:p w:rsidR="0083046A" w:rsidRDefault="0083046A">
            <w:pPr>
              <w:pStyle w:val="ConsPlusNormal"/>
            </w:pPr>
            <w:r>
              <w:t xml:space="preserve">Валюта, используемая для формирования цены контракта и расчетов с </w:t>
            </w:r>
            <w:r>
              <w:lastRenderedPageBreak/>
              <w:t>поставщиком, подрядчиком, исполнителем:</w:t>
            </w:r>
          </w:p>
        </w:tc>
        <w:tc>
          <w:tcPr>
            <w:tcW w:w="6236" w:type="dxa"/>
          </w:tcPr>
          <w:p w:rsidR="0083046A" w:rsidRDefault="0083046A">
            <w:pPr>
              <w:pStyle w:val="ConsPlusNormal"/>
            </w:pPr>
            <w:r>
              <w:lastRenderedPageBreak/>
              <w:t>российский рубль</w:t>
            </w:r>
          </w:p>
        </w:tc>
      </w:tr>
      <w:tr w:rsidR="0083046A">
        <w:tc>
          <w:tcPr>
            <w:tcW w:w="2835" w:type="dxa"/>
          </w:tcPr>
          <w:p w:rsidR="0083046A" w:rsidRDefault="0083046A">
            <w:pPr>
              <w:pStyle w:val="ConsPlusNormal"/>
            </w:pPr>
            <w:r>
              <w:lastRenderedPageBreak/>
              <w:t>Источник финансирования:</w:t>
            </w:r>
          </w:p>
        </w:tc>
        <w:tc>
          <w:tcPr>
            <w:tcW w:w="6236" w:type="dxa"/>
          </w:tcPr>
          <w:p w:rsidR="0083046A" w:rsidRDefault="0083046A">
            <w:pPr>
              <w:pStyle w:val="ConsPlusNormal"/>
            </w:pPr>
            <w:r>
              <w:t xml:space="preserve">средства бюджетного учреждения на 2017 г. (субсидия бюджета г. </w:t>
            </w:r>
            <w:proofErr w:type="spellStart"/>
            <w:r>
              <w:t>Энска</w:t>
            </w:r>
            <w:proofErr w:type="spellEnd"/>
            <w:r>
              <w:t xml:space="preserve"> на 2017 г.)</w:t>
            </w:r>
          </w:p>
        </w:tc>
      </w:tr>
      <w:tr w:rsidR="0083046A">
        <w:tc>
          <w:tcPr>
            <w:tcW w:w="2835" w:type="dxa"/>
          </w:tcPr>
          <w:p w:rsidR="0083046A" w:rsidRDefault="0083046A">
            <w:pPr>
              <w:pStyle w:val="ConsPlusNormal"/>
            </w:pPr>
            <w:r>
              <w:t>Форма, срок и порядок оплаты контракта:</w:t>
            </w:r>
          </w:p>
        </w:tc>
        <w:tc>
          <w:tcPr>
            <w:tcW w:w="6236" w:type="dxa"/>
          </w:tcPr>
          <w:p w:rsidR="0083046A" w:rsidRDefault="0083046A">
            <w:pPr>
              <w:pStyle w:val="ConsPlusNormal"/>
            </w:pPr>
            <w:r>
              <w:t>в течение 10 банковских дней с даты заключения контракта заказчик выплачивает исполнителю аванс в размере 20 процентов цены контракта, оплата выполненных работ осуществляется в течение 10 банковских дней с даты подписания актов сдачи-приемки выполненных работ</w:t>
            </w:r>
          </w:p>
        </w:tc>
      </w:tr>
      <w:tr w:rsidR="0083046A">
        <w:tc>
          <w:tcPr>
            <w:tcW w:w="2835" w:type="dxa"/>
          </w:tcPr>
          <w:p w:rsidR="0083046A" w:rsidRDefault="0083046A">
            <w:pPr>
              <w:pStyle w:val="ConsPlusNormal"/>
            </w:pPr>
            <w:r>
              <w:t>Требования к участникам закупки в соответствии с действующим законодательством РФ:</w:t>
            </w:r>
          </w:p>
        </w:tc>
        <w:tc>
          <w:tcPr>
            <w:tcW w:w="6236" w:type="dxa"/>
          </w:tcPr>
          <w:p w:rsidR="0083046A" w:rsidRDefault="0083046A">
            <w:pPr>
              <w:pStyle w:val="ConsPlusNormal"/>
            </w:pPr>
            <w:r>
              <w:t>- соответствие требованиям, установленным согласно законодательству Российской Федерации к лицам, которые осуществляют выполнение работы, являющейся объектом закупки;</w:t>
            </w:r>
          </w:p>
          <w:p w:rsidR="0083046A" w:rsidRDefault="0083046A">
            <w:pPr>
              <w:pStyle w:val="ConsPlusNormal"/>
            </w:pPr>
            <w:r>
              <w:t xml:space="preserve">- </w:t>
            </w:r>
            <w:proofErr w:type="spellStart"/>
            <w:r>
              <w:t>непроведение</w:t>
            </w:r>
            <w:proofErr w:type="spellEnd"/>
            <w:r>
              <w:t xml:space="preserve">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rsidR="0083046A" w:rsidRDefault="0083046A">
            <w:pPr>
              <w:pStyle w:val="ConsPlusNormal"/>
            </w:pPr>
            <w:r>
              <w:t xml:space="preserve">- </w:t>
            </w:r>
            <w:proofErr w:type="spellStart"/>
            <w:r>
              <w:t>неприостановление</w:t>
            </w:r>
            <w:proofErr w:type="spellEnd"/>
            <w:r>
              <w:t xml:space="preserve"> деятельности участника закупки в порядке, установленном </w:t>
            </w:r>
            <w:hyperlink r:id="rId10" w:history="1">
              <w:r>
                <w:rPr>
                  <w:color w:val="0000FF"/>
                </w:rPr>
                <w:t>Кодексом</w:t>
              </w:r>
            </w:hyperlink>
            <w:r>
              <w:t xml:space="preserve"> Российской Федерации об административных правонарушениях, на дату подачи заявки на участие в закупке;</w:t>
            </w:r>
          </w:p>
          <w:p w:rsidR="0083046A" w:rsidRDefault="0083046A">
            <w:pPr>
              <w:pStyle w:val="ConsPlusNormal"/>
            </w:pPr>
            <w:r>
              <w:t>-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Не учитываются реструктурированная задолженность, а также недоимки (задолженность), на которые предоставлена отсрочка, рассрочка, инвестиционный налоговый кредит. Не принимаются во внимание суммы, в отношении которых имеется вступившее в законную силу решение суда о признании обязанности заявителя по их уплате исполненной, или суммы, признанные безнадежными к взысканию. Участник закупки также считается соответствующим данному требованию, если подал в установленном порядке заявление об обжаловании указанной недоимки (задолженности) и решение по такому заявлению на дату рассмотрения заявки не принято;</w:t>
            </w:r>
          </w:p>
          <w:p w:rsidR="0083046A" w:rsidRDefault="0083046A">
            <w:pPr>
              <w:pStyle w:val="ConsPlusNormal"/>
            </w:pPr>
            <w:r>
              <w:t xml:space="preserve">- 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главного бухгалтера юридического лица - участника закупки судимости за преступления в сфере экономики и (или) преступления, предусмотренные </w:t>
            </w:r>
            <w:hyperlink r:id="rId11" w:history="1">
              <w:r>
                <w:rPr>
                  <w:color w:val="0000FF"/>
                </w:rPr>
                <w:t>ст. ст. 289</w:t>
              </w:r>
            </w:hyperlink>
            <w:r>
              <w:t xml:space="preserve"> - </w:t>
            </w:r>
            <w:hyperlink r:id="rId12" w:history="1">
              <w:r>
                <w:rPr>
                  <w:color w:val="0000FF"/>
                </w:rPr>
                <w:t>291.1</w:t>
              </w:r>
            </w:hyperlink>
            <w:r>
              <w:t xml:space="preserve"> УК РФ (за исключением лиц, у которых такая судимость погашена или снята);</w:t>
            </w:r>
          </w:p>
          <w:p w:rsidR="0083046A" w:rsidRDefault="0083046A">
            <w:pPr>
              <w:pStyle w:val="ConsPlusNormal"/>
            </w:pPr>
            <w:r>
              <w:t xml:space="preserve">- неприменение в отношении участника закупки - физического лица либо руководителя, членов коллегиального исполнительного органа, лица, исполняющего функции </w:t>
            </w:r>
            <w:r>
              <w:lastRenderedPageBreak/>
              <w:t>единоличного исполнительного органа, главного бухгалтера юридического лица - участника закупки наказания в виде лишения права занимать определенные должности либо заниматься определенной деятельностью, которые связаны с выполнением работы, являющейся объектом осуществляемой закупки, и административного наказания в виде дисквалификации;</w:t>
            </w:r>
          </w:p>
          <w:p w:rsidR="0083046A" w:rsidRDefault="0083046A">
            <w:pPr>
              <w:pStyle w:val="ConsPlusNormal"/>
            </w:pPr>
            <w:r>
              <w:t xml:space="preserve">- </w:t>
            </w:r>
            <w:proofErr w:type="spellStart"/>
            <w:r>
              <w:t>непривлечение</w:t>
            </w:r>
            <w:proofErr w:type="spellEnd"/>
            <w:r>
              <w:t xml:space="preserve"> участника закупки - юридического лица в течение двух лет до момента подачи заявки на участие в закупке к административной ответственности за совершение правонарушения, предусмотренного </w:t>
            </w:r>
            <w:hyperlink r:id="rId13" w:history="1">
              <w:r>
                <w:rPr>
                  <w:color w:val="0000FF"/>
                </w:rPr>
                <w:t>ст. 19.28</w:t>
              </w:r>
            </w:hyperlink>
            <w:r>
              <w:t xml:space="preserve"> КоАП РФ;</w:t>
            </w:r>
          </w:p>
          <w:p w:rsidR="0083046A" w:rsidRDefault="0083046A">
            <w:pPr>
              <w:pStyle w:val="ConsPlusNormal"/>
            </w:pPr>
            <w:r>
              <w:t>- отсутствие конфликта интересов между участником закупки и заказчиком;</w:t>
            </w:r>
          </w:p>
          <w:p w:rsidR="0083046A" w:rsidRDefault="0083046A">
            <w:pPr>
              <w:pStyle w:val="ConsPlusNormal"/>
            </w:pPr>
            <w:r>
              <w:t xml:space="preserve">- отсутствие в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w:t>
            </w:r>
            <w:hyperlink w:anchor="P155" w:history="1">
              <w:r>
                <w:rPr>
                  <w:color w:val="0000FF"/>
                </w:rPr>
                <w:t>&lt;2&gt;</w:t>
              </w:r>
            </w:hyperlink>
            <w:r>
              <w:t>;</w:t>
            </w:r>
          </w:p>
          <w:p w:rsidR="0083046A" w:rsidRDefault="0083046A">
            <w:pPr>
              <w:pStyle w:val="ConsPlusNormal"/>
            </w:pPr>
            <w:r>
              <w:t>- участник не может являться офшорной компанией.</w:t>
            </w:r>
          </w:p>
          <w:p w:rsidR="0083046A" w:rsidRDefault="0083046A">
            <w:pPr>
              <w:pStyle w:val="ConsPlusNormal"/>
            </w:pPr>
            <w:r>
              <w:t>Преимущества учреждениям и предприятиям уголовно-исполнительной системы, организациям инвалидов, субъектам малого предпринимательства, социально ориентированным некоммерческим организациям не предоставляются. Данный электронный аукцион не является закупкой у субъектов малого предпринимательства, социально ориентированных некоммерческих организаций</w:t>
            </w:r>
          </w:p>
        </w:tc>
      </w:tr>
      <w:tr w:rsidR="0083046A">
        <w:tc>
          <w:tcPr>
            <w:tcW w:w="9071" w:type="dxa"/>
            <w:gridSpan w:val="2"/>
          </w:tcPr>
          <w:p w:rsidR="0083046A" w:rsidRDefault="0083046A">
            <w:pPr>
              <w:pStyle w:val="ConsPlusNormal"/>
            </w:pPr>
            <w:r>
              <w:lastRenderedPageBreak/>
              <w:t>Информация о документации об электронном аукционе:</w:t>
            </w:r>
          </w:p>
        </w:tc>
      </w:tr>
      <w:tr w:rsidR="0083046A">
        <w:tc>
          <w:tcPr>
            <w:tcW w:w="2835" w:type="dxa"/>
          </w:tcPr>
          <w:p w:rsidR="0083046A" w:rsidRDefault="0083046A">
            <w:pPr>
              <w:pStyle w:val="ConsPlusNormal"/>
            </w:pPr>
            <w:r>
              <w:t>Единая информационная система (официальный сайт), в которой размещена документация об аукционе:</w:t>
            </w:r>
          </w:p>
        </w:tc>
        <w:tc>
          <w:tcPr>
            <w:tcW w:w="6236" w:type="dxa"/>
          </w:tcPr>
          <w:p w:rsidR="0083046A" w:rsidRDefault="0083046A">
            <w:pPr>
              <w:pStyle w:val="ConsPlusNormal"/>
            </w:pPr>
            <w:r>
              <w:t>www.zakupki.gov.ru</w:t>
            </w:r>
          </w:p>
        </w:tc>
      </w:tr>
      <w:tr w:rsidR="0083046A">
        <w:tc>
          <w:tcPr>
            <w:tcW w:w="2835" w:type="dxa"/>
          </w:tcPr>
          <w:p w:rsidR="0083046A" w:rsidRDefault="0083046A">
            <w:pPr>
              <w:pStyle w:val="ConsPlusNormal"/>
            </w:pPr>
            <w:r>
              <w:t>Порядок предоставления разъяснений документации об электронном аукционе:</w:t>
            </w:r>
          </w:p>
        </w:tc>
        <w:tc>
          <w:tcPr>
            <w:tcW w:w="6236" w:type="dxa"/>
          </w:tcPr>
          <w:p w:rsidR="0083046A" w:rsidRDefault="0083046A">
            <w:pPr>
              <w:pStyle w:val="ConsPlusNormal"/>
            </w:pPr>
            <w:r>
              <w:t>участник закупки вправе направить не более трех запросов о разъяснении положений документации об электронном аукционе оператору электронной площадки ЗАО "Сбербанк - Автоматизированная Система Торгов" не позднее 21.03.2017. В течение двух дней с момента поступления запроса заказчику разъяснения документации об электронном аукционе будут размещены в единой информационной системе (на официальном сайте)</w:t>
            </w:r>
          </w:p>
        </w:tc>
      </w:tr>
      <w:tr w:rsidR="0083046A">
        <w:tc>
          <w:tcPr>
            <w:tcW w:w="2835" w:type="dxa"/>
          </w:tcPr>
          <w:p w:rsidR="0083046A" w:rsidRDefault="0083046A">
            <w:pPr>
              <w:pStyle w:val="ConsPlusNormal"/>
            </w:pPr>
            <w:r>
              <w:t>Даты начала и окончания срока предоставления разъяснений положений документации об аукционе</w:t>
            </w:r>
          </w:p>
        </w:tc>
        <w:tc>
          <w:tcPr>
            <w:tcW w:w="6236" w:type="dxa"/>
          </w:tcPr>
          <w:p w:rsidR="0083046A" w:rsidRDefault="0083046A">
            <w:pPr>
              <w:pStyle w:val="ConsPlusNormal"/>
            </w:pPr>
            <w:r>
              <w:t>С момента размещения извещения и документации в единой информационной системе (на официальном сайте) до 09:00 24.03.2017 включительно</w:t>
            </w:r>
          </w:p>
        </w:tc>
      </w:tr>
      <w:tr w:rsidR="0083046A">
        <w:tc>
          <w:tcPr>
            <w:tcW w:w="9071" w:type="dxa"/>
            <w:gridSpan w:val="2"/>
          </w:tcPr>
          <w:p w:rsidR="0083046A" w:rsidRDefault="0083046A">
            <w:pPr>
              <w:pStyle w:val="ConsPlusNormal"/>
            </w:pPr>
            <w:r>
              <w:t>Информация об электронном аукционе:</w:t>
            </w:r>
          </w:p>
        </w:tc>
      </w:tr>
      <w:tr w:rsidR="0083046A">
        <w:tc>
          <w:tcPr>
            <w:tcW w:w="2835" w:type="dxa"/>
          </w:tcPr>
          <w:p w:rsidR="0083046A" w:rsidRDefault="0083046A">
            <w:pPr>
              <w:pStyle w:val="ConsPlusNormal"/>
            </w:pPr>
            <w:r>
              <w:t>Место и порядок подачи заявок участников закупки:</w:t>
            </w:r>
          </w:p>
        </w:tc>
        <w:tc>
          <w:tcPr>
            <w:tcW w:w="6236" w:type="dxa"/>
          </w:tcPr>
          <w:p w:rsidR="0083046A" w:rsidRDefault="0083046A">
            <w:pPr>
              <w:pStyle w:val="ConsPlusNormal"/>
            </w:pPr>
            <w:r>
              <w:t xml:space="preserve">подача заявок осуществляется только лицами, получившими аккредитацию на электронной площадке. Участник не вправе подать заявку на участие в аукционе, если до даты окончания </w:t>
            </w:r>
            <w:r>
              <w:lastRenderedPageBreak/>
              <w:t>срока его аккредитации осталось менее трех месяцев. Заявка на участие подается в любое время с момента размещения извещения до даты и времени окончания срока подачи заявок. Заявка состоит из двух частей и направляется участником оператору электронной площадки в форме двух электронных документов, каждый из которых содержит одну часть заявки. Указанные электронные документы подаются одновременно и должны быть подписаны усиленной электронной подписью лица, имеющего право действовать от имени участника аукциона. Участник вправе подать только одну заявку на участие в электронном аукционе в отношении каждого объекта закупки</w:t>
            </w:r>
          </w:p>
        </w:tc>
      </w:tr>
      <w:tr w:rsidR="0083046A">
        <w:tc>
          <w:tcPr>
            <w:tcW w:w="2835" w:type="dxa"/>
          </w:tcPr>
          <w:p w:rsidR="0083046A" w:rsidRDefault="0083046A">
            <w:pPr>
              <w:pStyle w:val="ConsPlusNormal"/>
            </w:pPr>
            <w:r>
              <w:lastRenderedPageBreak/>
              <w:t>Требования к содержанию и составу заявки:</w:t>
            </w:r>
          </w:p>
        </w:tc>
        <w:tc>
          <w:tcPr>
            <w:tcW w:w="6236" w:type="dxa"/>
          </w:tcPr>
          <w:p w:rsidR="0083046A" w:rsidRDefault="0083046A">
            <w:pPr>
              <w:pStyle w:val="ConsPlusNormal"/>
            </w:pPr>
            <w:r>
              <w:t>первая часть заявки должна содержать согласие участника электронного аукциона на выполнение работы на условиях, предусмотренных документацией об электронном аукционе, а также конкретные показатели используемого товара, соответствующие значениям, установленным документацией об электронном аукционе, и указание на товарный знак (его словесное обозначение) (при наличии), знак обслуживания (при наличии), фирменное наименование (при наличии), патенты (при наличии), полезные модели (при наличии), промышленные образцы (при наличии), наименование страны происхождения товара.</w:t>
            </w:r>
          </w:p>
          <w:p w:rsidR="0083046A" w:rsidRDefault="0083046A">
            <w:pPr>
              <w:pStyle w:val="ConsPlusNormal"/>
            </w:pPr>
            <w:r>
              <w:t>Вторая часть заявки должна содержать:</w:t>
            </w:r>
          </w:p>
          <w:p w:rsidR="0083046A" w:rsidRDefault="0083046A">
            <w:pPr>
              <w:pStyle w:val="ConsPlusNormal"/>
            </w:pPr>
            <w:r>
              <w:t>- информацию о наименовании, фирменном наименовании (при наличии), месте нахождения, почтовом адресе (для юридического лица), фамилии, имени, отчестве (при наличии), паспортных данных, месте жительства (для физического лица), номере контактного телефона, ИНН участника аукциона или аналоге ИНН участника аукциона (для иностранного лица), ИНН (при наличии) учредителей, членов коллегиального исполнительного органа, лица, осуществляющего функции единоличного исполнительного органа участника аукциона;</w:t>
            </w:r>
          </w:p>
          <w:p w:rsidR="0083046A" w:rsidRDefault="0083046A">
            <w:pPr>
              <w:pStyle w:val="ConsPlusNormal"/>
            </w:pPr>
            <w:r>
              <w:t xml:space="preserve">- декларацию о соответствии участника требованиям </w:t>
            </w:r>
            <w:hyperlink r:id="rId14" w:history="1">
              <w:r>
                <w:rPr>
                  <w:color w:val="0000FF"/>
                </w:rPr>
                <w:t>п. п. 3</w:t>
              </w:r>
            </w:hyperlink>
            <w:r>
              <w:t xml:space="preserve"> - </w:t>
            </w:r>
            <w:hyperlink r:id="rId15" w:history="1">
              <w:r>
                <w:rPr>
                  <w:color w:val="0000FF"/>
                </w:rPr>
                <w:t>5</w:t>
              </w:r>
            </w:hyperlink>
            <w:r>
              <w:t xml:space="preserve">, </w:t>
            </w:r>
            <w:hyperlink r:id="rId16" w:history="1">
              <w:r>
                <w:rPr>
                  <w:color w:val="0000FF"/>
                </w:rPr>
                <w:t>7</w:t>
              </w:r>
            </w:hyperlink>
            <w:r>
              <w:t xml:space="preserve">, </w:t>
            </w:r>
            <w:hyperlink r:id="rId17" w:history="1">
              <w:r>
                <w:rPr>
                  <w:color w:val="0000FF"/>
                </w:rPr>
                <w:t>7.1</w:t>
              </w:r>
            </w:hyperlink>
            <w:r>
              <w:t xml:space="preserve">, </w:t>
            </w:r>
            <w:hyperlink r:id="rId18" w:history="1">
              <w:r>
                <w:rPr>
                  <w:color w:val="0000FF"/>
                </w:rPr>
                <w:t>9 ч. 1 ст. 31</w:t>
              </w:r>
            </w:hyperlink>
            <w:r>
              <w:t xml:space="preserve"> Закона N 44-ФЗ;</w:t>
            </w:r>
          </w:p>
          <w:p w:rsidR="0083046A" w:rsidRDefault="0083046A">
            <w:pPr>
              <w:pStyle w:val="ConsPlusNormal"/>
            </w:pPr>
            <w:r>
              <w:t xml:space="preserve">- решение об одобрении или о совершении крупной сделки либо копию такого решения, если заключаемый контракт или предоставление обеспечения заявки, обеспечения исполнения контракта является для участника крупной сделкой </w:t>
            </w:r>
            <w:hyperlink w:anchor="P156" w:history="1">
              <w:r>
                <w:rPr>
                  <w:color w:val="0000FF"/>
                </w:rPr>
                <w:t>&lt;3&gt;</w:t>
              </w:r>
            </w:hyperlink>
          </w:p>
        </w:tc>
      </w:tr>
      <w:tr w:rsidR="0083046A">
        <w:tc>
          <w:tcPr>
            <w:tcW w:w="2835" w:type="dxa"/>
          </w:tcPr>
          <w:p w:rsidR="0083046A" w:rsidRDefault="0083046A">
            <w:pPr>
              <w:pStyle w:val="ConsPlusNormal"/>
            </w:pPr>
            <w:r>
              <w:t>Срок подачи заявок:</w:t>
            </w:r>
          </w:p>
        </w:tc>
        <w:tc>
          <w:tcPr>
            <w:tcW w:w="6236" w:type="dxa"/>
          </w:tcPr>
          <w:p w:rsidR="0083046A" w:rsidRDefault="0083046A">
            <w:pPr>
              <w:pStyle w:val="ConsPlusNormal"/>
            </w:pPr>
            <w:r>
              <w:t>с момента размещения извещения о проведении электронного аукциона в единой информационной системе (на официальном сайте) до 24.03.2017</w:t>
            </w:r>
          </w:p>
        </w:tc>
      </w:tr>
      <w:tr w:rsidR="0083046A">
        <w:tc>
          <w:tcPr>
            <w:tcW w:w="2835" w:type="dxa"/>
          </w:tcPr>
          <w:p w:rsidR="0083046A" w:rsidRDefault="0083046A">
            <w:pPr>
              <w:pStyle w:val="ConsPlusNormal"/>
            </w:pPr>
            <w:r>
              <w:t>Дата и время окончания срока подачи заявок на участие в электронном аукционе (по местному времени):</w:t>
            </w:r>
          </w:p>
        </w:tc>
        <w:tc>
          <w:tcPr>
            <w:tcW w:w="6236" w:type="dxa"/>
          </w:tcPr>
          <w:p w:rsidR="0083046A" w:rsidRDefault="0083046A">
            <w:pPr>
              <w:pStyle w:val="ConsPlusNormal"/>
            </w:pPr>
            <w:r>
              <w:t>24.03.2017 09:00</w:t>
            </w:r>
          </w:p>
        </w:tc>
      </w:tr>
      <w:tr w:rsidR="0083046A">
        <w:tc>
          <w:tcPr>
            <w:tcW w:w="9071" w:type="dxa"/>
            <w:gridSpan w:val="2"/>
          </w:tcPr>
          <w:p w:rsidR="0083046A" w:rsidRDefault="0083046A">
            <w:pPr>
              <w:pStyle w:val="ConsPlusNormal"/>
            </w:pPr>
            <w:r>
              <w:t>Обеспечение заявки:</w:t>
            </w:r>
          </w:p>
        </w:tc>
      </w:tr>
      <w:tr w:rsidR="0083046A">
        <w:tc>
          <w:tcPr>
            <w:tcW w:w="2835" w:type="dxa"/>
          </w:tcPr>
          <w:p w:rsidR="0083046A" w:rsidRDefault="0083046A">
            <w:pPr>
              <w:pStyle w:val="ConsPlusNormal"/>
            </w:pPr>
            <w:r>
              <w:t>Размер обеспечения:</w:t>
            </w:r>
          </w:p>
        </w:tc>
        <w:tc>
          <w:tcPr>
            <w:tcW w:w="6236" w:type="dxa"/>
          </w:tcPr>
          <w:p w:rsidR="0083046A" w:rsidRDefault="0083046A">
            <w:pPr>
              <w:pStyle w:val="ConsPlusNormal"/>
            </w:pPr>
            <w:r>
              <w:t>7 137,26, российский рубль</w:t>
            </w:r>
          </w:p>
        </w:tc>
      </w:tr>
      <w:tr w:rsidR="0083046A">
        <w:tc>
          <w:tcPr>
            <w:tcW w:w="2835" w:type="dxa"/>
          </w:tcPr>
          <w:p w:rsidR="0083046A" w:rsidRDefault="0083046A">
            <w:pPr>
              <w:pStyle w:val="ConsPlusNormal"/>
            </w:pPr>
            <w:r>
              <w:lastRenderedPageBreak/>
              <w:t>Порядок внесения денежных средств в качестве обеспечения заявок участников аукциона:</w:t>
            </w:r>
          </w:p>
        </w:tc>
        <w:tc>
          <w:tcPr>
            <w:tcW w:w="6236" w:type="dxa"/>
          </w:tcPr>
          <w:p w:rsidR="0083046A" w:rsidRDefault="0083046A">
            <w:pPr>
              <w:pStyle w:val="ConsPlusNormal"/>
            </w:pPr>
            <w:r>
              <w:t>участие в электронном аукционе возможно при наличии на лицевом счете участника закупки, открытом для проведения операций по обеспечению участия в таком аукционе на счете оператора электронной площадки, денежных средств, в отношении которых не осуществлено блокирование операций по лицевому счету, в размере не менее чем размер обеспечения заявки на участие. Поступление заявки на участие в электронном аукционе является поручением участника закупки оператору электронной площадки блокировать операции по указанному лицевому счету участника в отношении денежных средств в размере обеспечения заявки. В случае отсутствия на лицевом счете участника денежных средств в размере обеспечения заявки, в отношении которых не осуществлено блокирование, оператор электронной площадки возвращает участнику заявку в течение одного часа с момента ее получения</w:t>
            </w:r>
          </w:p>
        </w:tc>
      </w:tr>
      <w:tr w:rsidR="0083046A">
        <w:tc>
          <w:tcPr>
            <w:tcW w:w="2835" w:type="dxa"/>
          </w:tcPr>
          <w:p w:rsidR="0083046A" w:rsidRDefault="0083046A">
            <w:pPr>
              <w:pStyle w:val="ConsPlusNormal"/>
            </w:pPr>
            <w:r>
              <w:t>Дата окончания срока рассмотрения первых частей заявок:</w:t>
            </w:r>
          </w:p>
        </w:tc>
        <w:tc>
          <w:tcPr>
            <w:tcW w:w="6236" w:type="dxa"/>
          </w:tcPr>
          <w:p w:rsidR="0083046A" w:rsidRDefault="0083046A">
            <w:pPr>
              <w:pStyle w:val="ConsPlusNormal"/>
            </w:pPr>
            <w:r>
              <w:t>27.03.2017</w:t>
            </w:r>
          </w:p>
        </w:tc>
      </w:tr>
      <w:tr w:rsidR="0083046A">
        <w:tc>
          <w:tcPr>
            <w:tcW w:w="2835" w:type="dxa"/>
          </w:tcPr>
          <w:p w:rsidR="0083046A" w:rsidRDefault="0083046A">
            <w:pPr>
              <w:pStyle w:val="ConsPlusNormal"/>
            </w:pPr>
            <w:r>
              <w:t>Дата проведения электронного аукциона (по местному времени):</w:t>
            </w:r>
          </w:p>
        </w:tc>
        <w:tc>
          <w:tcPr>
            <w:tcW w:w="6236" w:type="dxa"/>
          </w:tcPr>
          <w:p w:rsidR="0083046A" w:rsidRDefault="0083046A">
            <w:pPr>
              <w:pStyle w:val="ConsPlusNormal"/>
            </w:pPr>
            <w:r>
              <w:t>30.03.2017</w:t>
            </w:r>
          </w:p>
        </w:tc>
      </w:tr>
      <w:tr w:rsidR="0083046A">
        <w:tc>
          <w:tcPr>
            <w:tcW w:w="2835" w:type="dxa"/>
          </w:tcPr>
          <w:p w:rsidR="0083046A" w:rsidRDefault="0083046A">
            <w:pPr>
              <w:pStyle w:val="ConsPlusNormal"/>
            </w:pPr>
            <w:r>
              <w:t>Условия контракта:</w:t>
            </w:r>
          </w:p>
        </w:tc>
        <w:tc>
          <w:tcPr>
            <w:tcW w:w="6236" w:type="dxa"/>
          </w:tcPr>
          <w:p w:rsidR="0083046A" w:rsidRDefault="0083046A">
            <w:pPr>
              <w:pStyle w:val="ConsPlusNormal"/>
            </w:pPr>
            <w:r>
              <w:t>подрядчик обязан выполнить работы, являющиеся объектом закупки, в сроки, объеме и качестве, которые определены документацией об электронном аукционе, техническим заданием и проектом контракта</w:t>
            </w:r>
          </w:p>
        </w:tc>
      </w:tr>
      <w:tr w:rsidR="0083046A">
        <w:tc>
          <w:tcPr>
            <w:tcW w:w="2835" w:type="dxa"/>
          </w:tcPr>
          <w:p w:rsidR="0083046A" w:rsidRDefault="0083046A">
            <w:pPr>
              <w:pStyle w:val="ConsPlusNormal"/>
            </w:pPr>
            <w:r>
              <w:t xml:space="preserve">Возможность заказчика принять решение об одностороннем отказе от исполнения контракта в соответствии со </w:t>
            </w:r>
            <w:hyperlink r:id="rId19" w:history="1">
              <w:r>
                <w:rPr>
                  <w:color w:val="0000FF"/>
                </w:rPr>
                <w:t>ст. 95</w:t>
              </w:r>
            </w:hyperlink>
            <w:r>
              <w:t xml:space="preserve"> Федерального закона от 05.04.2013 N 44-ФЗ "О контрактной системе в сфере закупок товаров, работ, услуг для обеспечения государственных и муниципальных нужд":</w:t>
            </w:r>
          </w:p>
        </w:tc>
        <w:tc>
          <w:tcPr>
            <w:tcW w:w="6236" w:type="dxa"/>
          </w:tcPr>
          <w:p w:rsidR="0083046A" w:rsidRDefault="0083046A">
            <w:pPr>
              <w:pStyle w:val="ConsPlusNormal"/>
            </w:pPr>
            <w:r>
              <w:t>предусмотрена</w:t>
            </w:r>
          </w:p>
        </w:tc>
      </w:tr>
      <w:tr w:rsidR="0083046A">
        <w:tc>
          <w:tcPr>
            <w:tcW w:w="2835" w:type="dxa"/>
          </w:tcPr>
          <w:p w:rsidR="0083046A" w:rsidRDefault="0083046A">
            <w:pPr>
              <w:pStyle w:val="ConsPlusNormal"/>
            </w:pPr>
            <w:r>
              <w:t>Возможность изменить условия контракта:</w:t>
            </w:r>
          </w:p>
        </w:tc>
        <w:tc>
          <w:tcPr>
            <w:tcW w:w="6236" w:type="dxa"/>
          </w:tcPr>
          <w:p w:rsidR="0083046A" w:rsidRDefault="0083046A">
            <w:pPr>
              <w:pStyle w:val="ConsPlusNormal"/>
            </w:pPr>
            <w:r>
              <w:t>при исполнении контракта допускаются следующие изменения условий контракта по соглашению сторон:</w:t>
            </w:r>
          </w:p>
          <w:p w:rsidR="0083046A" w:rsidRDefault="0083046A">
            <w:pPr>
              <w:pStyle w:val="ConsPlusNormal"/>
            </w:pPr>
            <w:r>
              <w:t>- снижение цены контракта без изменений иных условий контракта;</w:t>
            </w:r>
          </w:p>
          <w:p w:rsidR="0083046A" w:rsidRDefault="0083046A">
            <w:pPr>
              <w:pStyle w:val="ConsPlusNormal"/>
            </w:pPr>
            <w:r>
              <w:t>- увеличение или уменьшение предусмотренного контрактом объема работ не более чем на десять процентов с пропорциональным изменением цены контракта;</w:t>
            </w:r>
          </w:p>
          <w:p w:rsidR="0083046A" w:rsidRDefault="0083046A">
            <w:pPr>
              <w:pStyle w:val="ConsPlusNormal"/>
            </w:pPr>
            <w:r>
              <w:t>- улучшение качественных, функциональных характеристик работ по сравнению с характеристиками, установленными контрактом</w:t>
            </w:r>
          </w:p>
        </w:tc>
      </w:tr>
      <w:tr w:rsidR="0083046A">
        <w:tc>
          <w:tcPr>
            <w:tcW w:w="2835" w:type="dxa"/>
          </w:tcPr>
          <w:p w:rsidR="0083046A" w:rsidRDefault="0083046A">
            <w:pPr>
              <w:pStyle w:val="ConsPlusNormal"/>
            </w:pPr>
            <w:r>
              <w:lastRenderedPageBreak/>
              <w:t>Срок, в течение которого участник должен подписать контракт:</w:t>
            </w:r>
          </w:p>
        </w:tc>
        <w:tc>
          <w:tcPr>
            <w:tcW w:w="6236" w:type="dxa"/>
          </w:tcPr>
          <w:p w:rsidR="0083046A" w:rsidRDefault="0083046A">
            <w:pPr>
              <w:pStyle w:val="ConsPlusNormal"/>
            </w:pPr>
            <w:r>
              <w:t>победитель электронного аукциона или иной участник, с которым заключается контракт при уклонении победителя от подписания контракта, обязан подписать проект контракта в течение пяти дней с момента размещения заказчиком в единой информационной системе (на электронной площадке) проекта контракта. Если победитель электронного аукциона разместил в единой информационной системе (на электронной площадке) протокол разногласий, то он должен подписать и разместить проект контракта в течение трех рабочих дней с даты размещения заказчиком в единой информационной системе (на электронной площадке) доработанного проекта контракта или первоначального проекта и документа, содержащего информацию о причинах отказа учесть полностью или частично замечания по протоколу разногласий</w:t>
            </w:r>
          </w:p>
        </w:tc>
      </w:tr>
      <w:tr w:rsidR="0083046A">
        <w:tc>
          <w:tcPr>
            <w:tcW w:w="2835" w:type="dxa"/>
          </w:tcPr>
          <w:p w:rsidR="0083046A" w:rsidRDefault="0083046A">
            <w:pPr>
              <w:pStyle w:val="ConsPlusNormal"/>
            </w:pPr>
            <w:r>
              <w:t>Условия признания уклонения от заключения контракта:</w:t>
            </w:r>
          </w:p>
        </w:tc>
        <w:tc>
          <w:tcPr>
            <w:tcW w:w="6236" w:type="dxa"/>
          </w:tcPr>
          <w:p w:rsidR="0083046A" w:rsidRDefault="0083046A">
            <w:pPr>
              <w:pStyle w:val="ConsPlusNormal"/>
            </w:pPr>
            <w:r>
              <w:t>победитель электронного аукциона признается уклонившимся от заключения контракта в случаях:</w:t>
            </w:r>
          </w:p>
          <w:p w:rsidR="0083046A" w:rsidRDefault="0083046A">
            <w:pPr>
              <w:pStyle w:val="ConsPlusNormal"/>
            </w:pPr>
            <w:r>
              <w:t>- нарушения установленного документацией об электронном аукционе срока подписания проекта контракта;</w:t>
            </w:r>
          </w:p>
          <w:p w:rsidR="0083046A" w:rsidRDefault="0083046A">
            <w:pPr>
              <w:pStyle w:val="ConsPlusNormal"/>
            </w:pPr>
            <w:r>
              <w:t>- нарушения срока направления протокола разногласий;</w:t>
            </w:r>
          </w:p>
          <w:p w:rsidR="0083046A" w:rsidRDefault="0083046A">
            <w:pPr>
              <w:pStyle w:val="ConsPlusNormal"/>
            </w:pPr>
            <w:r>
              <w:t>- нарушения установленного документацией об электронном аукционе срока и порядка предоставления обеспечения исполнения контракта, несоответствия обеспечения требованиям о размере обеспечения;</w:t>
            </w:r>
          </w:p>
          <w:p w:rsidR="0083046A" w:rsidRDefault="0083046A">
            <w:pPr>
              <w:pStyle w:val="ConsPlusNormal"/>
            </w:pPr>
            <w:r>
              <w:t>- признания информации, подтверждающей добросовестность победителя электронного аукциона, недостоверной</w:t>
            </w:r>
          </w:p>
        </w:tc>
      </w:tr>
      <w:tr w:rsidR="0083046A">
        <w:tc>
          <w:tcPr>
            <w:tcW w:w="2835" w:type="dxa"/>
          </w:tcPr>
          <w:p w:rsidR="0083046A" w:rsidRDefault="0083046A">
            <w:pPr>
              <w:pStyle w:val="ConsPlusNormal"/>
            </w:pPr>
            <w:r>
              <w:t>Контрактный управляющий:</w:t>
            </w:r>
          </w:p>
        </w:tc>
        <w:tc>
          <w:tcPr>
            <w:tcW w:w="6236" w:type="dxa"/>
          </w:tcPr>
          <w:p w:rsidR="0083046A" w:rsidRDefault="0083046A">
            <w:pPr>
              <w:pStyle w:val="ConsPlusNormal"/>
            </w:pPr>
            <w:r>
              <w:t>Волков Иван Александрович, телефон: +7 (0000) 562204</w:t>
            </w:r>
          </w:p>
        </w:tc>
      </w:tr>
      <w:tr w:rsidR="0083046A">
        <w:tc>
          <w:tcPr>
            <w:tcW w:w="9071" w:type="dxa"/>
            <w:gridSpan w:val="2"/>
          </w:tcPr>
          <w:p w:rsidR="0083046A" w:rsidRDefault="0083046A">
            <w:pPr>
              <w:pStyle w:val="ConsPlusNormal"/>
            </w:pPr>
            <w:r>
              <w:t>Обеспечение исполнения контракта:</w:t>
            </w:r>
          </w:p>
        </w:tc>
      </w:tr>
      <w:tr w:rsidR="0083046A">
        <w:tc>
          <w:tcPr>
            <w:tcW w:w="2835" w:type="dxa"/>
          </w:tcPr>
          <w:p w:rsidR="0083046A" w:rsidRDefault="0083046A">
            <w:pPr>
              <w:pStyle w:val="ConsPlusNormal"/>
            </w:pPr>
            <w:r>
              <w:t>Размер обеспечения:</w:t>
            </w:r>
          </w:p>
        </w:tc>
        <w:tc>
          <w:tcPr>
            <w:tcW w:w="6236" w:type="dxa"/>
          </w:tcPr>
          <w:p w:rsidR="0083046A" w:rsidRDefault="0083046A">
            <w:pPr>
              <w:pStyle w:val="ConsPlusNormal"/>
            </w:pPr>
            <w:r>
              <w:t>214 117,8, российский рубль.</w:t>
            </w:r>
          </w:p>
          <w:p w:rsidR="0083046A" w:rsidRDefault="0083046A">
            <w:pPr>
              <w:pStyle w:val="ConsPlusNormal"/>
            </w:pPr>
            <w:r>
              <w:t>Размер обеспечения исполнения контракта в случае представления по результатам проведения электронного аукциона победителем электронного аукциона или иным участником, с которым заключается контракт при уклонении победителя от подписания контракта, предложения о цене контракта на 25 и более процентов ниже начальной (максимальной) цены контракта: 321 176,7, российский рубль.</w:t>
            </w:r>
          </w:p>
          <w:p w:rsidR="0083046A" w:rsidRDefault="0083046A">
            <w:pPr>
              <w:pStyle w:val="ConsPlusNormal"/>
            </w:pPr>
            <w:r>
              <w:t xml:space="preserve">Если по результатам проведения электронного аукциона представлено предложение о цене контракта на 25 и более процентов ниже начальной (максимальной) его цены, победитель электронного аукциона при подписании контракта обязан предоставить обеспечение исполнения контракта в размере 321 176 руб. 70 коп. Размер обеспечения не увеличивается, если победитель представит информацию, подтверждающую его добросовестность. К такой информации относятся содержащиеся в реестре контрактов сведения о том, что в течение года до даты подачи заявки победитель исполнил не менее трех контрактов без применения неустоек (штрафов, пеней), либо в течение двух лет до даты подачи заявки - четырех и более контрактов (из них не менее 75 процентов исполнены без применения неустоек (штрафов, пеней)), либо в течение трех лет до даты подачи заявки - трех и более </w:t>
            </w:r>
            <w:r>
              <w:lastRenderedPageBreak/>
              <w:t>контрактов (все контракты исполнены без применения неустоек (штрафов, пеней)). Цена одного из контрактов, информация о котором предоставлена, должна составлять не менее 20 процентов цены контракта, предложенной победителем электронного аукциона</w:t>
            </w:r>
          </w:p>
        </w:tc>
      </w:tr>
      <w:tr w:rsidR="0083046A">
        <w:tc>
          <w:tcPr>
            <w:tcW w:w="2835" w:type="dxa"/>
          </w:tcPr>
          <w:p w:rsidR="0083046A" w:rsidRDefault="0083046A">
            <w:pPr>
              <w:pStyle w:val="ConsPlusNormal"/>
            </w:pPr>
            <w:r>
              <w:lastRenderedPageBreak/>
              <w:t>Срок и порядок предоставления обеспечения исполнения контракта:</w:t>
            </w:r>
          </w:p>
        </w:tc>
        <w:tc>
          <w:tcPr>
            <w:tcW w:w="6236" w:type="dxa"/>
          </w:tcPr>
          <w:p w:rsidR="0083046A" w:rsidRDefault="0083046A">
            <w:pPr>
              <w:pStyle w:val="ConsPlusNormal"/>
            </w:pPr>
            <w:r>
              <w:t>подписанный усиленной электронной подписью документ, подтверждающий предоставление обеспечения исполнения контракта, размещается в единой информационной системе (на электронной площадке) победителем аукциона или иным участником, с которым заключается контракт при уклонении победителя от подписания контракта. Указанное требование должно быть выполнено в срок, установленный для размещения в единой информационной системе (на электронной площадке) проекта контракта, подписанного уполномоченным лицом победителя аукциона или иного участника.</w:t>
            </w:r>
          </w:p>
          <w:p w:rsidR="0083046A" w:rsidRDefault="0083046A">
            <w:pPr>
              <w:pStyle w:val="ConsPlusNormal"/>
            </w:pPr>
            <w:r>
              <w:t>Исполнение контракта может обеспечиваться банковской гарантией или внесением денежных средств. Способ обеспечения исполнения контракта определяется победителем электронного аукциона или иным участником, с которым заключается контракт при уклонении победителя от подписания контракта, самостоятельно.</w:t>
            </w:r>
          </w:p>
          <w:p w:rsidR="0083046A" w:rsidRDefault="0083046A">
            <w:pPr>
              <w:pStyle w:val="ConsPlusNormal"/>
            </w:pPr>
            <w:r>
              <w:t xml:space="preserve">Банковская гарантия должна соответствовать требованиям законодательства, в том числе </w:t>
            </w:r>
            <w:hyperlink r:id="rId20" w:history="1">
              <w:r>
                <w:rPr>
                  <w:color w:val="0000FF"/>
                </w:rPr>
                <w:t>ст. 45</w:t>
              </w:r>
            </w:hyperlink>
            <w:r>
              <w:t xml:space="preserve"> Закона N 44-ФЗ, и Дополнительным </w:t>
            </w:r>
            <w:hyperlink r:id="rId21" w:history="1">
              <w:r>
                <w:rPr>
                  <w:color w:val="0000FF"/>
                </w:rPr>
                <w:t>требованиям</w:t>
              </w:r>
            </w:hyperlink>
            <w:r>
              <w:t>, утвержденным Постановлением Правительства РФ от 08.11.2013 N 1005. Банковская гарантия должна быть безотзывной и содержать:</w:t>
            </w:r>
          </w:p>
          <w:p w:rsidR="0083046A" w:rsidRDefault="0083046A">
            <w:pPr>
              <w:pStyle w:val="ConsPlusNormal"/>
            </w:pPr>
            <w:r>
              <w:t>- сумму банковской гарантии, подлежащую уплате гарантом заказчику в случае ненадлежащего исполнения обязательств принципалом;</w:t>
            </w:r>
          </w:p>
          <w:p w:rsidR="0083046A" w:rsidRDefault="0083046A">
            <w:pPr>
              <w:pStyle w:val="ConsPlusNormal"/>
            </w:pPr>
            <w:r>
              <w:t>- обязательства принципала, надлежащее исполнение которых обеспечивается банковской гарантией;</w:t>
            </w:r>
          </w:p>
          <w:p w:rsidR="0083046A" w:rsidRDefault="0083046A">
            <w:pPr>
              <w:pStyle w:val="ConsPlusNormal"/>
            </w:pPr>
            <w:r>
              <w:t>- обязанность гаранта уплатить заказчику неустойку в размере 0,1 процента денежной суммы, подлежащей уплате, за каждый день просрочки;</w:t>
            </w:r>
          </w:p>
          <w:p w:rsidR="0083046A" w:rsidRDefault="0083046A">
            <w:pPr>
              <w:pStyle w:val="ConsPlusNormal"/>
            </w:pPr>
            <w:r>
              <w:t>- условие, согласно которому исполнением обязательств гаранта по банковской гарантии является фактическое поступление денежных сумм на счет, на котором учитываются операции со средствами, поступающими заказчику;</w:t>
            </w:r>
          </w:p>
          <w:p w:rsidR="0083046A" w:rsidRDefault="0083046A">
            <w:pPr>
              <w:pStyle w:val="ConsPlusNormal"/>
            </w:pPr>
            <w:r>
              <w:t>- срок действия банковской гарантии;</w:t>
            </w:r>
          </w:p>
          <w:p w:rsidR="0083046A" w:rsidRDefault="0083046A">
            <w:pPr>
              <w:pStyle w:val="ConsPlusNormal"/>
            </w:pPr>
            <w:r>
              <w:t>- отлагательное условие, предусматривающее заключение договора предоставления банковской гарантии по обязательствам принципала, возникшим из контракта при его заключении;</w:t>
            </w:r>
          </w:p>
          <w:p w:rsidR="0083046A" w:rsidRDefault="0083046A">
            <w:pPr>
              <w:pStyle w:val="ConsPlusNormal"/>
            </w:pPr>
            <w:r>
              <w:t>- установленный Правительством Российской Федерации перечень документов, предоставляемых заказчиком банку одновременно с требованием об осуществлении уплаты денежной суммы по банковской гарантии;</w:t>
            </w:r>
          </w:p>
          <w:p w:rsidR="0083046A" w:rsidRDefault="0083046A">
            <w:pPr>
              <w:pStyle w:val="ConsPlusNormal"/>
            </w:pPr>
            <w:r>
              <w:t xml:space="preserve">- 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w:t>
            </w:r>
            <w:r>
              <w:lastRenderedPageBreak/>
              <w:t>до окончания срока действия банковской гарантии.</w:t>
            </w:r>
          </w:p>
          <w:p w:rsidR="0083046A" w:rsidRDefault="0083046A">
            <w:pPr>
              <w:pStyle w:val="ConsPlusNormal"/>
            </w:pPr>
            <w:r>
              <w:t>Срок действия безотзывной банковской гарантии, выданной банком, должен превышать срок действия контракта не менее чем на один месяц.</w:t>
            </w:r>
          </w:p>
          <w:p w:rsidR="0083046A" w:rsidRDefault="0083046A">
            <w:pPr>
              <w:pStyle w:val="ConsPlusNormal"/>
            </w:pPr>
            <w:r>
              <w:t>Платежные реквизиты для перечисления денежных средств для обеспечения исполнения контракта:</w:t>
            </w:r>
          </w:p>
          <w:p w:rsidR="0083046A" w:rsidRDefault="0083046A">
            <w:pPr>
              <w:pStyle w:val="ConsPlusNormal"/>
            </w:pPr>
            <w:r>
              <w:t>Получатель: ________________________________.</w:t>
            </w:r>
          </w:p>
          <w:p w:rsidR="0083046A" w:rsidRDefault="0083046A">
            <w:pPr>
              <w:pStyle w:val="ConsPlusNormal"/>
            </w:pPr>
            <w:r>
              <w:t>Банк получателя: ___________________________,</w:t>
            </w:r>
          </w:p>
          <w:p w:rsidR="0083046A" w:rsidRDefault="0083046A">
            <w:pPr>
              <w:pStyle w:val="ConsPlusNormal"/>
            </w:pPr>
            <w:r>
              <w:t>р/с 00000000000000000000, БИК 000000000, ИНН 0000000000, КПП 000000000.</w:t>
            </w:r>
          </w:p>
          <w:p w:rsidR="0083046A" w:rsidRDefault="0083046A">
            <w:pPr>
              <w:pStyle w:val="ConsPlusNormal"/>
            </w:pPr>
            <w:r>
              <w:t>Назначение платежа: обеспечение исполнения контракта на выполнение работ по замене тротуарного покрытия.</w:t>
            </w:r>
          </w:p>
          <w:p w:rsidR="0083046A" w:rsidRDefault="0083046A">
            <w:pPr>
              <w:pStyle w:val="ConsPlusNormal"/>
            </w:pPr>
            <w:r>
              <w:t>Обеспечение исполнения контракта призвано обеспечить основные обязательства по контракту. Порядок и сроки возврата денежных средств, внесенных для обеспечения исполнения контракта: в случае если подрядчик в качестве способа обеспечения исполнения обязательств по контракту выбрал внесение денежных средств и подрядчик исполнил взятые на себя по контракту обязательства надлежащим образом, возврат денежных средств производится после сдачи всех работ по контракту в течение пяти рабочих дней со дня получения заказчиком соответствующего письменного требования подрядчика</w:t>
            </w:r>
          </w:p>
        </w:tc>
      </w:tr>
    </w:tbl>
    <w:p w:rsidR="0083046A" w:rsidRDefault="0083046A">
      <w:pPr>
        <w:pStyle w:val="ConsPlusNormal"/>
        <w:jc w:val="both"/>
      </w:pPr>
    </w:p>
    <w:p w:rsidR="0083046A" w:rsidRDefault="0083046A">
      <w:pPr>
        <w:pStyle w:val="ConsPlusNormal"/>
        <w:ind w:firstLine="540"/>
        <w:jc w:val="both"/>
      </w:pPr>
      <w:r>
        <w:t>--------------------------------</w:t>
      </w:r>
    </w:p>
    <w:p w:rsidR="0083046A" w:rsidRDefault="0083046A">
      <w:pPr>
        <w:pStyle w:val="ConsPlusNormal"/>
        <w:ind w:firstLine="540"/>
        <w:jc w:val="both"/>
      </w:pPr>
      <w:bookmarkStart w:id="1" w:name="P154"/>
      <w:bookmarkEnd w:id="1"/>
      <w:r>
        <w:t>&lt;1&gt; Код бюджетной классификации указан условно.</w:t>
      </w:r>
    </w:p>
    <w:p w:rsidR="0083046A" w:rsidRDefault="0083046A">
      <w:pPr>
        <w:pStyle w:val="ConsPlusNormal"/>
        <w:ind w:firstLine="540"/>
        <w:jc w:val="both"/>
      </w:pPr>
      <w:bookmarkStart w:id="2" w:name="P155"/>
      <w:bookmarkEnd w:id="2"/>
      <w:r>
        <w:t xml:space="preserve">&lt;2&gt; Данное требование к участникам заказчик вправе установить согласно </w:t>
      </w:r>
      <w:hyperlink r:id="rId22" w:history="1">
        <w:r>
          <w:rPr>
            <w:color w:val="0000FF"/>
          </w:rPr>
          <w:t>ч. 1.1 ст. 31</w:t>
        </w:r>
      </w:hyperlink>
      <w:r>
        <w:t xml:space="preserve"> Закона N 44-ФЗ.</w:t>
      </w:r>
    </w:p>
    <w:p w:rsidR="0083046A" w:rsidRDefault="0083046A">
      <w:pPr>
        <w:pStyle w:val="ConsPlusNormal"/>
        <w:ind w:firstLine="540"/>
        <w:jc w:val="both"/>
      </w:pPr>
      <w:bookmarkStart w:id="3" w:name="P156"/>
      <w:bookmarkEnd w:id="3"/>
      <w:r>
        <w:t xml:space="preserve">&lt;3&gt; С 01.01.2017 действует Федеральный </w:t>
      </w:r>
      <w:hyperlink r:id="rId23" w:history="1">
        <w:r>
          <w:rPr>
            <w:color w:val="0000FF"/>
          </w:rPr>
          <w:t>закон</w:t>
        </w:r>
      </w:hyperlink>
      <w:r>
        <w:t xml:space="preserve"> от 03.07.2016 N 343-ФЗ, которым, в частности, изменено регулирование крупных сделок АО и ООО.</w:t>
      </w:r>
    </w:p>
    <w:p w:rsidR="0083046A" w:rsidRDefault="0083046A">
      <w:pPr>
        <w:pStyle w:val="ConsPlusNormal"/>
        <w:jc w:val="both"/>
      </w:pPr>
    </w:p>
    <w:p w:rsidR="0083046A" w:rsidRDefault="0083046A">
      <w:pPr>
        <w:pStyle w:val="ConsPlusNormal"/>
        <w:jc w:val="both"/>
      </w:pPr>
    </w:p>
    <w:p w:rsidR="0083046A" w:rsidRDefault="0083046A">
      <w:pPr>
        <w:pStyle w:val="ConsPlusNormal"/>
        <w:pBdr>
          <w:top w:val="single" w:sz="6" w:space="0" w:color="auto"/>
        </w:pBdr>
        <w:spacing w:before="100" w:after="100"/>
        <w:jc w:val="both"/>
        <w:rPr>
          <w:sz w:val="2"/>
          <w:szCs w:val="2"/>
        </w:rPr>
      </w:pPr>
    </w:p>
    <w:p w:rsidR="008D2B51" w:rsidRDefault="008D2B51"/>
    <w:sectPr w:rsidR="008D2B51" w:rsidSect="005033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46A"/>
    <w:rsid w:val="0083046A"/>
    <w:rsid w:val="008D2B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3046A"/>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83046A"/>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3046A"/>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83046A"/>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AB379AAFAA1D100E328F37AF89ED5A2F2F76CD33047940914D77A40B33N" TargetMode="External"/><Relationship Id="rId13" Type="http://schemas.openxmlformats.org/officeDocument/2006/relationships/hyperlink" Target="consultantplus://offline/ref=AB379AAFAA1D100E328F2BAF8EED5A2F2A76C43B0E2C17931C22AAB6D3F68CA00B0E609DE2C4013BN" TargetMode="External"/><Relationship Id="rId18" Type="http://schemas.openxmlformats.org/officeDocument/2006/relationships/hyperlink" Target="consultantplus://offline/ref=AB379AAFAA1D100E328F2BAF8EED5A2F2A76C53A092717931C22AAB6D3F68CA00B0E609EE4C71CE80C36N" TargetMode="External"/><Relationship Id="rId3" Type="http://schemas.openxmlformats.org/officeDocument/2006/relationships/settings" Target="settings.xml"/><Relationship Id="rId21" Type="http://schemas.openxmlformats.org/officeDocument/2006/relationships/hyperlink" Target="consultantplus://offline/ref=AB379AAFAA1D100E328F2BAF8EED5A2F2970CA320E2F17931C22AAB6D3F68CA00B0E609EE4C61BEF0C3DN" TargetMode="External"/><Relationship Id="rId7" Type="http://schemas.openxmlformats.org/officeDocument/2006/relationships/hyperlink" Target="consultantplus://offline/ref=AB379AAFAA1D100E328F2BAF8EED5A2F2A77CD320C2A17931C22AAB6D30F36N" TargetMode="External"/><Relationship Id="rId12" Type="http://schemas.openxmlformats.org/officeDocument/2006/relationships/hyperlink" Target="consultantplus://offline/ref=AB379AAFAA1D100E328F2BAF8EED5A2F2A76CA330F2B17931C22AAB6D3F68CA00B0E609DE4CE013DN" TargetMode="External"/><Relationship Id="rId17" Type="http://schemas.openxmlformats.org/officeDocument/2006/relationships/hyperlink" Target="consultantplus://offline/ref=AB379AAFAA1D100E328F2BAF8EED5A2F2A76C53A092717931C22AAB6D3F68CA00B0E609DED0C31N"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consultantplus://offline/ref=AB379AAFAA1D100E328F2BAF8EED5A2F2A76C53A092717931C22AAB6D3F68CA00B0E609EE4C618EC0C3DN" TargetMode="External"/><Relationship Id="rId20" Type="http://schemas.openxmlformats.org/officeDocument/2006/relationships/hyperlink" Target="consultantplus://offline/ref=AB379AAFAA1D100E328F2BAF8EED5A2F2A76C53A092717931C22AAB6D3F68CA00B0E609A0E32N" TargetMode="External"/><Relationship Id="rId1" Type="http://schemas.openxmlformats.org/officeDocument/2006/relationships/styles" Target="styles.xml"/><Relationship Id="rId6" Type="http://schemas.openxmlformats.org/officeDocument/2006/relationships/hyperlink" Target="consultantplus://offline/ref=AB379AAFAA1D100E328F2BAF8EED5A2F2A76C53A092717931C22AAB6D3F68CA00B0E609EE4C61AE90C39N" TargetMode="External"/><Relationship Id="rId11" Type="http://schemas.openxmlformats.org/officeDocument/2006/relationships/hyperlink" Target="consultantplus://offline/ref=AB379AAFAA1D100E328F2BAF8EED5A2F2A76CA330F2B17931C22AAB6D3F68CA00B0E609EE4C713E10C38N" TargetMode="External"/><Relationship Id="rId24" Type="http://schemas.openxmlformats.org/officeDocument/2006/relationships/fontTable" Target="fontTable.xml"/><Relationship Id="rId5" Type="http://schemas.openxmlformats.org/officeDocument/2006/relationships/hyperlink" Target="consultantplus://offline/ref=AB379AAFAA1D100E328F2BAF8EED5A2F2A76CC38082D17931C22AAB6D3F68CA00B0E609EE4C412E90C3EN" TargetMode="External"/><Relationship Id="rId15" Type="http://schemas.openxmlformats.org/officeDocument/2006/relationships/hyperlink" Target="consultantplus://offline/ref=AB379AAFAA1D100E328F2BAF8EED5A2F2A76C53A092717931C22AAB6D3F68CA00B0E609EE4C618EC0C3FN" TargetMode="External"/><Relationship Id="rId23" Type="http://schemas.openxmlformats.org/officeDocument/2006/relationships/hyperlink" Target="consultantplus://offline/ref=AB379AAFAA1D100E328F2BAF8EED5A2F2A77CD3D0D2817931C22AAB6D30F36N" TargetMode="External"/><Relationship Id="rId10" Type="http://schemas.openxmlformats.org/officeDocument/2006/relationships/hyperlink" Target="consultantplus://offline/ref=AB379AAFAA1D100E328F2BAF8EED5A2F2A76C43B0E2C17931C22AAB6D30F36N" TargetMode="External"/><Relationship Id="rId19" Type="http://schemas.openxmlformats.org/officeDocument/2006/relationships/hyperlink" Target="consultantplus://offline/ref=AB379AAFAA1D100E328F2BAF8EED5A2F2A76C53A092717931C22AAB6D3F68CA00B0E609EE4C718E80C36N" TargetMode="External"/><Relationship Id="rId4" Type="http://schemas.openxmlformats.org/officeDocument/2006/relationships/webSettings" Target="webSettings.xml"/><Relationship Id="rId9" Type="http://schemas.openxmlformats.org/officeDocument/2006/relationships/hyperlink" Target="consultantplus://offline/ref=AB379AAFAA1D100E328F37AF89ED5A2F2F76CC3A047940914D77A40B33N" TargetMode="External"/><Relationship Id="rId14" Type="http://schemas.openxmlformats.org/officeDocument/2006/relationships/hyperlink" Target="consultantplus://offline/ref=AB379AAFAA1D100E328F2BAF8EED5A2F2A76C53A092717931C22AAB6D3F68CA00B0E609EE4C618EB0C37N" TargetMode="External"/><Relationship Id="rId22" Type="http://schemas.openxmlformats.org/officeDocument/2006/relationships/hyperlink" Target="consultantplus://offline/ref=AB379AAFAA1D100E328F2BAF8EED5A2F2A76C53A092717931C22AAB6D3F68CA00B0E609EE4C71CE90C3F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3409</Words>
  <Characters>19437</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Патеев А.В.</dc:creator>
  <cp:lastModifiedBy>Патеев А.В.</cp:lastModifiedBy>
  <cp:revision>2</cp:revision>
  <dcterms:created xsi:type="dcterms:W3CDTF">2017-07-20T13:57:00Z</dcterms:created>
  <dcterms:modified xsi:type="dcterms:W3CDTF">2017-07-20T13:57:00Z</dcterms:modified>
</cp:coreProperties>
</file>