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40"/>
      </w:pPr>
      <w:r>
        <w:rPr>
          <w:rFonts w:ascii="Arial" w:cs="Arial" w:eastAsia="Arial" w:hAnsi="Arial"/>
          <w:b/>
          <w:bCs/>
          <w:caps/>
          <w:color w:val="2E6DA4"/>
          <w:sz w:val="28"/>
          <w:szCs w:val="28"/>
        </w:rPr>
        <w:t xml:space="preserve">VALENCE OPS</w:t>
      </w:r>
    </w:p>
    <w:p>
      <w:pPr>
        <w:pBdr>
          <w:bottom w:val="single" w:color="1A3C5E" w:sz="8"/>
        </w:pBdr>
        <w:spacing w:after="40" w:before="40"/>
      </w:pPr>
      <w:r>
        <w:rPr>
          <w:rFonts w:ascii="Arial" w:cs="Arial" w:eastAsia="Arial" w:hAnsi="Arial"/>
          <w:sz w:val="12"/>
          <w:szCs w:val="12"/>
        </w:rPr>
        <w:t xml:space="preserve"> 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3C5E"/>
          <w:sz w:val="44"/>
          <w:szCs w:val="44"/>
        </w:rPr>
        <w:t xml:space="preserve">Data Intake
Requirements</w:t>
      </w:r>
    </w:p>
    <w:p>
      <w:pPr>
        <w:spacing w:after="200" w:before="0"/>
      </w:pPr>
      <w:r>
        <w:rPr>
          <w:rFonts w:ascii="Arial" w:cs="Arial" w:eastAsia="Arial" w:hAnsi="Arial"/>
          <w:i/>
          <w:iCs/>
          <w:color w:val="4A4A4A"/>
          <w:sz w:val="24"/>
          <w:szCs w:val="24"/>
        </w:rPr>
        <w:t xml:space="preserve">Hand this to the clinic before the audit. Every item is mandatory.</w:t>
      </w:r>
    </w:p>
    <w:p>
      <w:pPr>
        <w:spacing w:after="0" w:before="40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Document 02 of 3  |  Pre-Deployment Infrastructure  |  Elective Clinic Vertical</w:t>
      </w:r>
    </w:p>
    <w:p>
      <w:pPr>
        <w:spacing w:after="1440" w:before="0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Version 1.0  |  Bengaluru, India  |  June 2026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Why We Need All of This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The accuracy of your Revenue Leakage Findings depends entirely on whether the data we work from reflects your actual pipeline. Most clinics have data in multiple places — a CRM, a spreadsheet, a WhatsApp inbox, a billing system. We need all of it. A partial dataset produces wrong numbers, and wrong numbers mean a system that misfires.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Everything listed below is required before we begin the audit. If a source does not exist for your clinic, note that explicitly — that absence is itself a finding.</w:t>
      </w:r>
    </w:p>
    <w:p>
      <w:pPr>
        <w:pBdr>
          <w:bottom w:val="single" w:color="E8F0F7" w:sz="4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ITEM 1: Lead Database Export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Export your complete lead database — every lead ever recorded, not just recent or active ones. Do not filter by status, date, or coordinator.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Preferred format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Raw CSV or XLSX export directly from your CRM (GoHighLevel, Zoho, HubSpot, etc.)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If using Google Sheets: share edit access or export as CSV — do not manually copy-paste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If using WhatsApp manually: export chat history as .txt files for key patient threads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Required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00"/>
        <w:gridCol w:w="2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We're Looking For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If Missing...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Lead name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Identity matching across systems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Flag — may indicate parallel source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Phone number(s)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All numbers on record, including alternates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Critical gap — cannot run WhatsApp campaign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Lead source / channel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Where did the inquiry originate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Channel blindness confirmed if missing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Created date / timestamp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When the lead first entered the system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Cannot measure speed-to-lead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Current status / stage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New, Follow-up, Lost, Converted, etc.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Cannot assess pipeline distribution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Last contacted date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When was the last actual contact attempt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Cannot identify dead pipeline age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Assigned coordinator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Which staff member owns this lead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Cannot detect orphaned pipelines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Activity count / log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Number of calls, messages, attempts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Cannot confirm follow-up reality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Procedure of interest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What procedure did they enquire about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Cannot segment reactivation by intent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Consultation date (if booked)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Appointment timestamp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Cannot run no-show analysis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Consultation outcome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Showed / No-show / Rescheduled / Converted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Cannot assess show-up rate</w:t>
            </w:r>
          </w:p>
        </w:tc>
      </w:tr>
    </w:tbl>
    <w:p>
      <w:pPr>
        <w:spacing w:after="80" w:before="120"/>
      </w:pPr>
      <w:r>
        <w:rPr>
          <w:rFonts w:ascii="Arial" w:cs="Arial" w:eastAsia="Arial" w:hAnsi="Arial"/>
          <w:b/>
          <w:bCs/>
          <w:i/>
          <w:iCs/>
          <w:color w:val="C0392B"/>
          <w:sz w:val="19"/>
          <w:szCs w:val="19"/>
        </w:rPr>
        <w:t xml:space="preserve">Important: Do not send a cleaned or filtered version of your data. We need the raw export including blank fields, formatting errors, and duplicate entries. These are findings, not problems to fix before sending.</w:t>
      </w:r>
    </w:p>
    <w:p>
      <w:pPr>
        <w:pBdr>
          <w:bottom w:val="single" w:color="E8F0F7" w:sz="4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ITEM 2: Ad Platform Access (Read-Only)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We need read-only access to your advertising dashboards to cross-check lead volumes against what was captured in your system.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Required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Meta Business Suite / Ads Manager — read-only user access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Google Ads — read-only access if running search campaigns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Google Business Profile — admin or manager access to see call history and message volume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Specifically we will pull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Leads Generated (Meta) vs. Leads Logged (CRM) for the last 90 days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Click-to-WhatsApp click volume vs. WhatsApp conversations initiated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Google Business call click volume vs. calls logged in your system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If access cannot be shared, export the following screenshots: Meta Ads Manager results column showing "Leads" metric by month for the last 3 months. Google Business Insights showing calls, messages, and direction requests for the last 3 months.</w:t>
      </w:r>
    </w:p>
    <w:p>
      <w:pPr>
        <w:pBdr>
          <w:bottom w:val="single" w:color="E8F0F7" w:sz="4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ITEM 3: WhatsApp Business Account Details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WhatsApp Business App users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Export the last 90 days of chat history for your primary clinic number as a .txt backup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Note how many staff members are linked to the account via WhatsApp Web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Note whether any staff members use personal numbers to contact patients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WhatsApp Business API users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Share your WhatsApp Manager dashboard screenshot showing: quality rating (Green/Yellow/Red), current messaging tier, and template approval status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Export the last 30 days of template message delivery reports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Note which platform hosts your API (Meta directly, or a BSP like Interakt, Wati, AiSensy)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i/>
          <w:iCs/>
          <w:color w:val="C0392B"/>
          <w:sz w:val="19"/>
          <w:szCs w:val="19"/>
        </w:rPr>
        <w:t xml:space="preserve">If your quality rating is Yellow or Red, do not attempt to send any campaign messages before the audit is complete. Doing so risks a permanent ban that would delay deployment significantly.</w:t>
      </w:r>
    </w:p>
    <w:p>
      <w:pPr>
        <w:pBdr>
          <w:bottom w:val="single" w:color="E8F0F7" w:sz="4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ITEM 4: Billing / HMS Data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We need a count — not detailed patient records — of new paying patients for the last 90 days by procedure type.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What to export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Total new patient count per month for the last 3 months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Breakdown by procedure type if available (hair transplant, IVF, cosmetic, dental, etc.)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This does not need to include names, amounts, or personal health data — aggregate counts are sufficient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We use this to cross-check against the CRM's "Converted" count. If billing shows 80 new patients but the CRM shows 20 conversions, we know referral and walk-in patients are being excluded from your lead tracking.</w:t>
      </w:r>
    </w:p>
    <w:p>
      <w:pPr>
        <w:pBdr>
          <w:bottom w:val="single" w:color="E8F0F7" w:sz="4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ITEM 5: Staff Information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Current staff list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Name and role of every person who handles patient inquiries (receptionist, coordinator, doctor)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Whether each person uses an official clinic number or personal number for patient contact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Which CRM / spreadsheet login they use (note if multiple people share a login)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Former staff (last 12 months)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Name and departure date of any coordinator or front desk staff who left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Note whether their leads were reassigned and to whom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We flag all leads assigned to former staff as an orphaned pipeline — these are reactivation targets but require different messaging framing.</w:t>
      </w:r>
    </w:p>
    <w:p>
      <w:pPr>
        <w:pBdr>
          <w:bottom w:val="single" w:color="E8F0F7" w:sz="4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ITEM 6: Appointment Data (If Separate from Lead Data)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If appointments are tracked in a separate system (a booking tool, Google Calendar, paper register), export or photograph the last 90 days.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Date and time of each booked consultation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Show / No-show outcome for each slot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Procedure type for each appointment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Source of the booking (which channel did the lead come from)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If no appointment tracking exists in any digital form, note this explicitly. It is a finding — and the no-show recovery system will be the first structured tracking this clinic has ever had.</w:t>
      </w:r>
    </w:p>
    <w:p>
      <w:pPr>
        <w:pBdr>
          <w:bottom w:val="single" w:color="E8F0F7" w:sz="4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What Happens After You Send This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Once we receive all items above, the audit takes 48–72 hours. You will receive: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 Revenue Leakage Findings document — one page, your numbers, the three biggest leak points, and a recoverable pipeline estimate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 deployment readiness summary — what needs to be in place before the system goes live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 recommended first step with a timeline and expected outcome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If any item above is unavailable, send what you have and note what is missing. Missing items become part of the findings — they are never a reason to delay the audit.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A3C5E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6DA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2026-06-24T09:54:54.201Z</dcterms:created>
  <dcterms:modified xsi:type="dcterms:W3CDTF">2026-06-24T09:54:54.202Z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