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aps/>
          <w:color w:val="2E6DA4"/>
          <w:sz w:val="28"/>
          <w:szCs w:val="28"/>
        </w:rPr>
        <w:t xml:space="preserve">VALENCE OPS</w:t>
      </w:r>
    </w:p>
    <w:p>
      <w:pPr>
        <w:pBdr>
          <w:bottom w:val="single" w:color="1A3C5E" w:sz="8"/>
        </w:pBdr>
        <w:spacing w:after="40" w:before="4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Pre-Deployment
Shadow Audit
Checklist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Run this before touching any clinic data. Every check.</w:t>
      </w:r>
    </w:p>
    <w:p>
      <w:pPr>
        <w:spacing w:after="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 01 of 3  |  Pre-Deployment Infrastructure  |  Elective Clinic Vertical</w:t>
      </w:r>
    </w:p>
    <w:p>
      <w:pPr>
        <w:spacing w:after="14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Bengaluru, India  |  June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Purpose &amp; How to Use This Document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checklist runs before the Revenue Leakage Audit. Its job is to determine whether the data the clinic hands you is complete enough to trust. A Revenue Leakage Audit run on a corrupted or partial dataset produces wrong numbers — and wrong numbers mean a system that misfires on launch.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checklist is sequenced deliberately. Run Phase 1 checks first. The findings there change how you interpret everything in Phase 2 and 3. Do not skip ahead.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Three outputs come out of this audit: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data trust score — how much of the pipeline is actually visible to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list of active shadow patterns — which of the 20 known failure modes are confirmed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deployment risk rating — whether you can proceed, need to remediate first, or need to renegotiate scope</w:t>
      </w:r>
    </w:p>
    <w:p>
      <w:pPr>
        <w:pBdr>
          <w:bottom w:val="single" w:color="E8F0F7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1: Data Source Verification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Run before you look at a single lead record. The goal is to establish what data sources actually exist and whether you have all of them.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1.1 — Channel Mapping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Ask the owner: "Walk me through every channel where a patient can reach your clinic — WhatsApp, Instagram, website form, phone call, walk-in, Google Business, referral. For each one, where does that inquiry go first?"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Map each channel to one of: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— Goes into CRM/spreadsheet (trackable)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 — Goes into WhatsApp inbox (partially trackable)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 — Goes into owner/coordinator personal phone (NOT trackable)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 — Handled verbally / walk-in register / paper (NOT trackable)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C0392B"/>
          <w:sz w:val="19"/>
          <w:szCs w:val="19"/>
        </w:rPr>
        <w:t xml:space="preserve">Red flag threshold: Any channel mapped to C or D means the dataset you've been handed is structurally incomplete. Note which channels and continue.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1.2 — Volume Plausibility Check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Get the clinic's last 90-day ad spend across all channels. Apply the CPQL benchmark to estimate expected lead volume.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CPQL Range (₹)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 ₹1L Spend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 ₹3L Spend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IVF / Fertility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₹1,180 – ₹2,400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 – 85 leads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125 – 254 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Aesthetic Dermatology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₹980 – ₹1,800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56 – 102 leads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167 – 306 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Hair Transplant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₹1,350 – ₹2,640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 – 74 leads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114 – 222 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Cosmetic Surgery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₹1,200 – ₹2,500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– 83 leads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 – 250 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Dental (Implants/Aligners)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₹800 – ₹1,600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63 – 125 leads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188 – 375 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₹900 – ₹1,700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59 – 111 leads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176 – 333 leads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Formula: Estimated leads = Ad Spend ÷ CPQL midpoint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Compare estimated leads against leads logged in their dataset. A gap &gt;25% confirms top-of-funnel capture failure. A gap &gt;50% means you are looking at a partial dataset — proceed with extreme caution on any diagnostic number you produce.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D4870A"/>
          <w:sz w:val="19"/>
          <w:szCs w:val="19"/>
        </w:rPr>
        <w:t xml:space="preserve">Cross-check: Pull Meta Ads Manager → Leads Generated for the same period. Compare directly to CRM lead count. Any divergence &gt;10% confirms missing leads.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1.3 — Parallel Source Detection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Ask to see the physical reception desk during peak hours. Look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walk-in register or paper notebook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Sticky notes with patient names/numbers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separate spreadsheet tab that was not in the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WhatsApp group where leads are being shared informally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Ask the coordinator: "Where do you personally keep track of which patients you need to follow up with?" The answer to this question — not the CRM — is often the real system.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C0392B"/>
          <w:sz w:val="19"/>
          <w:szCs w:val="19"/>
        </w:rPr>
        <w:t xml:space="preserve">If you are handed an Excel file with exactly 8–10 perfectly named columns and zero blank fields — stop. This is a sanitized export, not a raw data dump. Ask for the original system export or CRM CSV.</w:t>
      </w:r>
    </w:p>
    <w:p>
      <w:pPr>
        <w:pBdr>
          <w:bottom w:val="single" w:color="E8F0F7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2: Data Integrity Checks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Run on the actual dataset the clinic provides. These checks identify active manipulation and incompleteness patterns.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— Timestamp Distribution Analysis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Export lead creation timestamps and last-updated timestamps. Run a frequency distribution by hour of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Healthy data: timestamps distributed organically across business hours, 9 AM – 7 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entry signature: &gt;60% of updates clustered in a 45-minute window at end of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CSV upload signature: multiple leads with identical timestamps down to the second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Batch entry means first-contact timestamps are meaningless. Speed-to-lead metrics will be wrong. Flag this finding explicitly in your audit output.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— Status Distribution Check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Pull the count of leads in each status. Benchmark against expected distributions for digital ad traffic: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Range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Flag If...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/ Uncontacted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15–30% of total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5% — leads never enter top of funnel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 Follow-up / Nurturing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30–45% of total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70% — recency bias is 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Lost / Not Interested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20–35% of total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50% — inbox clearance marking likely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11–20% for digital leads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35% — denominator suppression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Hostile / Complaint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15–20% minimum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2% — conflict eradication occurring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2.3 — Activity Count Cross-Check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For all leads marked Lost or Not Interested: check the logged activity count (calls made, messages sent).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&gt;30% of terminal leads have 0 or 1 activity logged: inbox clearance marking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activity logs show 15–20 "Call Attempted" entries within a 2-minute window: phantom logging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call durations are uniformly zero or blank: cross-check against telephony CDRs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C0392B"/>
          <w:sz w:val="19"/>
          <w:szCs w:val="19"/>
        </w:rPr>
        <w:t xml:space="preserve">Request telephony CDR export if available. Mismatch between CRM call logs and telecom records is definitive proof of phantom activity.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2.4 — Conversion Rate Plausibility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Calculate implied CPL: Ad Spend ÷ Total Logged Leads. Compare to benchmark CPL for their specialty and city.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If implied CPL is 3–5x higher than benchmark: leads have been deleted. The denominator has been suppressed.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Cross-check: Compare CRM "Converted" count against HMS/billing software unique new patients for the same period. Divergence confirms either high-intent exclusion or CRM used as vanity dashboard.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2.5 — Lead Age Distribution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Pull lead age distribution by created_date. Look at the follow-up stage specifically: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percentage of follow-up leads are older than 30 days with zero recent activity?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percentage of all activity is concentrated on leads &lt;2 days old?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If &gt;80% of activity is on &lt;15% of the database (the newest leads): recency bias confirmed. This is actually a positive signal for Valence Ops — it means a large, unworked mid-funnel exists. Document the size of this cohort.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2.6 — Phone Number Quality Audit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Run a phone number formatting check on the full dataset before any other analysis: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 numbers that are not 10 digits after stripping +91, 0, country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 numbers that appear to be landlines (starting with 044, 080, 022,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 duplicate numbers appearing under different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for SIM recycling risk: flag all leads with zero bidirectional communication in &gt;90 days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C0392B"/>
          <w:sz w:val="19"/>
          <w:szCs w:val="19"/>
        </w:rPr>
        <w:t xml:space="preserve">Any lead with zero bidirectional contact in &gt;90 days is SIM recycling risk. Do not send medical content to these numbers without identity verification first (DPDP liability).</w:t>
      </w:r>
    </w:p>
    <w:p>
      <w:pPr>
        <w:pBdr>
          <w:bottom w:val="single" w:color="E8F0F7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3: Shadow Behavior Confirmation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These checks confirm specific behavioral patterns that cause system misfires. Run after Phase 1 and 2 are complete.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— The Personal Phone Check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Ask to observe a coordinator respond to a live incoming inquiry during your site visit. Watch which device they reach for. If they reach for a personal mobile rather than an official device or desktop portal: personal silo confirmed.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Secondary check: Look at the CRM data for leads that jump from "New" to "Converted" with zero intermediate activity and no nurturing lag. A perfectly cylindrical funnel with no drop-off stages is a silo signature.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 — The Owner Conversation Check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Ask the owner: "Are there any patient types you personally handle — high-value cases, referrals from doctor friends, sensitive cases — where you manage the conversation directly?"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Then cross-check: Pull the CRM's procedure distribution. Compare to revenue by procedure from billing. If a high-revenue procedure is underrepresented in the CRM relative to billing: owner exclusion is active on that segment.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3.3 — The Narrative Divergence Test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Ask the owner and coordinator the same three questions separately: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"If a patient messages your WhatsApp right now, how quickly will someone personally respond?"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"How many times does your team try to reach a lead before moving on?"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"Where do you keep track of patients you need to follow up with?"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Owner answers represent the policy. Coordinator answers represent the reality. Where they diverge is where your automation needs to compensate. Document the gap explicitly — this becomes the emotional anchor of your proposal.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3.4 — Converted-But-Still-Lost Check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Run a VLOOKUP or name-match between the last 60 days of paying patients (from billing/HMS) and the CRM database. Any paying patient still marked "Lost" or "Not Interested" in the CRM confirms the owner-conversion attribution failure. These patients must be suppressed from any reactivation sequence immediately.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3.5 — WhatsApp Quality Rating Check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Before any campaign planning, check the clinic's WhatsApp Business Manager dashboard: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Green rating: proceed to normal campaign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Yellow rating: conservative warm-up required — 20–40 messages/day for 7 days minimum before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 rating: rehabilitation sequence required before any reactivation campaign. Full reactivation delayed by 14–21 days.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Also check: current messaging tier limit (250/day vs 1,000/day vs 10,000/day). Campaign volume must stay within tier limits or a ban is triggered.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3.6 — Staff Turnover Data Gap Check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Ask: "Has any coordinator or front desk staff left in the last 12 months?" If yes: identify the departure date. Pull all leads assigned to the former employee. Check activity velocity before and after departure date. A sudden drop to zero on departure date confirms the turnover black hole. These leads are orphaned — prime reactivation targets but require cold-outreach framing, not continuation framing.</w:t>
      </w:r>
    </w:p>
    <w:p>
      <w:pPr>
        <w:pBdr>
          <w:bottom w:val="single" w:color="E8F0F7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4: Audit Output &amp; Deployment Decision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4.1 — Data Trust Score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After completing all checks, assign a Data Trust Score: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 Decision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shadow patterns confirmed. Dataset represents &gt;80% of actual pipeline. Timestamps reliable.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Proceed to Revenue Leakage Audit immediately.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1–3 shadow patterns confirmed. Dataset is partial but usable. Key segments may be missing.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Proceed with remediation notes. Flag missing segments in audit output. Set correct expectations on reactivation volume.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4–6 shadow patterns confirmed. Dataset is significantly incomplete or manipulated.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Remediate before proceeding. Fix phone numbers, reconcile billing vs CRM, suppress converted patients. Re-run Phase 2 checks after remediation.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7+ shadow patterns confirmed. Dataset cannot be trusted as a basis for diagnosis.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Renegotiate scope. The audit deliverable must include a data reconstruction phase before reactivation can begin. This changes the timeline and potentially the pricing conversation.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4.2 — Shadow Audit Summary Template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Document your findings in this format before moving to the Revenue Leakage Audit: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Trust Score: [A / B / C / 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Confirmed shadow patterns: [list by name]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Estimated missing pipeline: [number of leads not visible in dataset]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SIM recycling risk cohort: [number of leads flagged]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Converted-but-lost patients suppressed: [number]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WhatsApp quality rating: [Green / Yellow / Red] — current tier: [250 / 1K / 10K]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Deployment risk: [Proceed / Remediate First / Renegotiate Scope]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narrative divergence points: [owner said X, coordinator said Y]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2026-06-24T09:54:54.026Z</dcterms:created>
  <dcterms:modified xsi:type="dcterms:W3CDTF">2026-06-24T09:54:54.026Z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