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MSCA</w:t>
      </w:r>
    </w:p>
    <w:p>
      <w:pPr>
        <w:pStyle w:val="Subtitle"/>
      </w:pPr>
      <w:r>
        <w:t xml:space="preserve">Test</w:t>
      </w:r>
      <w:r>
        <w:t xml:space="preserve"> </w:t>
      </w:r>
      <w:r>
        <w:t xml:space="preserve">formatting</w:t>
      </w:r>
    </w:p>
    <w:p>
      <w:pPr>
        <w:pStyle w:val="Author"/>
      </w:pPr>
      <w:r>
        <w:t xml:space="preserve">Till</w:t>
      </w:r>
      <w:r>
        <w:t xml:space="preserve"> </w:t>
      </w:r>
      <w:r>
        <w:t xml:space="preserve">Grallert</w:t>
      </w:r>
    </w:p>
    <w:p>
      <w:pPr>
        <w:pStyle w:val="Date"/>
      </w:pPr>
      <w:r>
        <w:t xml:space="preserve">2020-09-04</w:t>
      </w:r>
    </w:p>
    <w:p>
      <w:pPr>
        <w:pStyle w:val="Heading1"/>
      </w:pPr>
      <w:bookmarkStart w:id="20" w:name="first-level"/>
      <w:r>
        <w:t xml:space="preserve">First level</w:t>
      </w:r>
      <w:bookmarkEnd w:id="20"/>
    </w:p>
    <w:p>
      <w:pPr>
        <w:pStyle w:val="FirstParagraph"/>
      </w:pPr>
      <w:r>
        <w:t xml:space="preserve">Donec sed odio dui.</w:t>
      </w:r>
      <w:r>
        <w:rPr>
          <w:rStyle w:val="FootnoteReference"/>
        </w:rPr>
        <w:footnoteReference w:id="21"/>
      </w:r>
      <w:r>
        <w:t xml:space="preserve"> </w:t>
      </w:r>
      <w:r>
        <w:t xml:space="preserve">Donec</w:t>
      </w:r>
      <w:r>
        <w:t xml:space="preserve"> </w:t>
      </w:r>
      <w:r>
        <w:rPr>
          <w:b/>
        </w:rPr>
        <w:t xml:space="preserve">ullamcorper</w:t>
      </w:r>
      <w:r>
        <w:t xml:space="preserve"> </w:t>
      </w:r>
      <w:r>
        <w:t xml:space="preserve">nulla non metus auctor fringilla. Cras justo odio, dapibus ac facilisis in, egestas eget quam.</w:t>
      </w:r>
      <w:r>
        <w:rPr>
          <w:rStyle w:val="FootnoteReference"/>
        </w:rPr>
        <w:footnoteReference w:id="22"/>
      </w:r>
      <w:r>
        <w:t xml:space="preserve"> </w:t>
      </w:r>
      <w:r>
        <w:t xml:space="preserve">Praesent commodo cursus magna, vel scelerisque nisl consectetur et. Nulla vitae elit libero, a pharetra augue.</w:t>
      </w:r>
      <w:r>
        <w:rPr>
          <w:rStyle w:val="FootnoteReference"/>
        </w:rPr>
        <w:footnoteReference w:id="23"/>
      </w:r>
    </w:p>
    <w:p>
      <w:pPr>
        <w:pStyle w:val="Heading2"/>
      </w:pPr>
      <w:bookmarkStart w:id="26" w:name="second-level"/>
      <w:r>
        <w:t xml:space="preserve">Second level</w:t>
      </w:r>
      <w:bookmarkEnd w:id="26"/>
    </w:p>
    <w:p>
      <w:pPr>
        <w:pStyle w:val="FirstParagraph"/>
      </w:pPr>
      <w:r>
        <w:t xml:space="preserve">Curabitur blandit tempus porttitor (</w:t>
      </w:r>
      <w:r>
        <w:rPr>
          <w:rStyle w:val="VerbatimChar"/>
        </w:rPr>
        <w:t xml:space="preserve">WP1</w:t>
      </w:r>
      <w:r>
        <w:t xml:space="preserve">).</w:t>
      </w:r>
      <w:r>
        <w:rPr>
          <w:rStyle w:val="FootnoteReference"/>
        </w:rPr>
        <w:footnoteReference w:id="27"/>
      </w:r>
      <w:r>
        <w:t xml:space="preserve"> </w:t>
      </w:r>
      <w:r>
        <w:t xml:space="preserve">Cras mattis consectetur purus sit amet fermentum.</w:t>
      </w:r>
      <w:r>
        <w:rPr>
          <w:rStyle w:val="FootnoteReference"/>
        </w:rPr>
        <w:footnoteReference w:id="28"/>
      </w:r>
      <w:r>
        <w:t xml:space="preserve"> </w:t>
      </w:r>
      <w:r>
        <w:t xml:space="preserve">Integer posuere erat a ante venenatis dapibus posuere velit aliquet. Curabitur blandit tempus porttitor. Morbi leo risus, porta ac consectetur ac, vestibulum at eros.</w:t>
      </w:r>
    </w:p>
    <w:tbl>
      <w:tblPr>
        <w:tblStyle w:val="Table"/>
        <w:tblW w:type="pct" w:w="5000.0"/>
        <w:tblLook w:firstRow="1"/>
      </w:tblPr>
      <w:tblGrid>
        <w:gridCol w:w="884"/>
        <w:gridCol w:w="1095"/>
        <w:gridCol w:w="5940"/>
      </w:tblGrid>
      <w:tr>
        <w:trPr>
          <w:cnfStyle w:firstRow="1"/>
        </w:trPr>
        <w:tc>
          <w:tcPr>
            <w:tcBorders>
              <w:bottom w:val="single"/>
            </w:tcBorders>
            <w:vAlign w:val="bottom"/>
          </w:tcPr>
          <w:p>
            <w:pPr>
              <w:pStyle w:val="Compact"/>
              <w:jc w:val="left"/>
            </w:pPr>
            <w:r>
              <w:t xml:space="preserve">Donec</w:t>
            </w:r>
          </w:p>
        </w:tc>
        <w:tc>
          <w:tcPr>
            <w:tcBorders>
              <w:bottom w:val="single"/>
            </w:tcBorders>
            <w:vAlign w:val="bottom"/>
          </w:tcPr>
          <w:p>
            <w:pPr>
              <w:pStyle w:val="Compact"/>
              <w:jc w:val="left"/>
            </w:pPr>
            <w:r>
              <w:t xml:space="preserve">ullamcorper nulla</w:t>
            </w:r>
          </w:p>
        </w:tc>
        <w:tc>
          <w:tcPr>
            <w:tcBorders>
              <w:bottom w:val="single"/>
            </w:tcBorders>
            <w:vAlign w:val="bottom"/>
          </w:tcPr>
          <w:p>
            <w:pPr>
              <w:pStyle w:val="Compact"/>
              <w:jc w:val="left"/>
            </w:pPr>
            <w:r>
              <w:t xml:space="preserve">non metus auctor fringilla</w:t>
            </w:r>
          </w:p>
        </w:tc>
      </w:tr>
      <w:tr>
        <w:tc>
          <w:p>
            <w:pPr>
              <w:pStyle w:val="Compact"/>
              <w:jc w:val="left"/>
            </w:pPr>
            <w:r>
              <w:t xml:space="preserve">Cras justo odio,</w:t>
            </w:r>
          </w:p>
        </w:tc>
        <w:tc>
          <w:p>
            <w:pPr>
              <w:pStyle w:val="Compact"/>
              <w:jc w:val="left"/>
            </w:pPr>
            <w:r>
              <w:t xml:space="preserve">dapibus ac facilisis in,</w:t>
            </w:r>
          </w:p>
        </w:tc>
        <w:tc>
          <w:p>
            <w:pPr>
              <w:pStyle w:val="Compact"/>
              <w:jc w:val="left"/>
            </w:pPr>
            <w:r>
              <w:t xml:space="preserve">egestas eget quam. Praesent commodo cursus magna, vel scelerisque nisl consectetur et.</w:t>
            </w:r>
          </w:p>
        </w:tc>
      </w:tr>
      <w:tr>
        <w:tc>
          <w:p>
            <w:pPr>
              <w:pStyle w:val="Compact"/>
              <w:jc w:val="left"/>
            </w:pPr>
            <w:r>
              <w:t xml:space="preserve">Duis mollis,</w:t>
            </w:r>
          </w:p>
        </w:tc>
        <w:tc>
          <w:p>
            <w:pPr>
              <w:pStyle w:val="Compact"/>
              <w:jc w:val="left"/>
            </w:pPr>
            <w:r>
              <w:t xml:space="preserve">est non commodo luctus,</w:t>
            </w:r>
          </w:p>
        </w:tc>
        <w:tc>
          <w:p>
            <w:pPr>
              <w:pStyle w:val="Compact"/>
              <w:jc w:val="left"/>
            </w:pPr>
            <w:r>
              <w:t xml:space="preserve">nisi erat porttitor ligula, eget lacinia odio sem nec elit. Aenean eu leo quam.</w:t>
            </w:r>
          </w:p>
        </w:tc>
      </w:tr>
      <w:tr>
        <w:tc>
          <w:p>
            <w:pPr>
              <w:pStyle w:val="Compact"/>
              <w:jc w:val="left"/>
            </w:pPr>
            <w:r>
              <w:t xml:space="preserve">Pellentesque ornare</w:t>
            </w:r>
          </w:p>
        </w:tc>
        <w:tc>
          <w:p/>
        </w:tc>
        <w:tc>
          <w:p>
            <w:pPr>
              <w:pStyle w:val="Compact"/>
              <w:jc w:val="left"/>
            </w:pPr>
            <w:r>
              <w:t xml:space="preserve">venenatis vestibulum. Nullam quis risus eget urna mollis ornare vel eu leo. Maecenas sed diam eget risus varius blandit sit amet non magna.</w:t>
            </w:r>
          </w:p>
        </w:tc>
      </w:tr>
    </w:tbl>
    <w:p>
      <w:pPr>
        <w:pStyle w:val="BodyText"/>
      </w:pPr>
      <w:r>
        <w:t xml:space="preserve">Duis mollis, est non commodo luctus, nisi erat porttitor ligula, eget lacinia odio sem nec elit. Nullam id dolor id nibh ultricies vehicula ut id elit. Lorem ipsum dolor sit amet, consectetur adipiscing elit. Duis mollis, est non commodo luctus, nisi erat porttitor ligula, eget lacinia odio sem nec elit. Etiam porta sem malesuada magna mollis euismod. Maecenas sed diam eget risus varius blandit sit amet non magna. Vivamus sagittis lacus vel augue laoreet rutrum faucibus dolor auctor.</w:t>
      </w:r>
    </w:p>
    <w:p>
      <w:pPr>
        <w:pStyle w:val="Heading3"/>
      </w:pPr>
      <w:bookmarkStart w:id="29" w:name="third-level"/>
      <w:r>
        <w:t xml:space="preserve">Third level</w:t>
      </w:r>
      <w:bookmarkEnd w:id="29"/>
    </w:p>
    <w:p>
      <w:pPr>
        <w:pStyle w:val="FirstParagraph"/>
      </w:pPr>
      <w:r>
        <w:t xml:space="preserve">Donec sed odio dui. Vestibulum id ligula porta felis euismod semper. Duis mollis, est non commodo luctus, nisi erat porttitor ligula, eget lacinia odio sem nec elit. Cras mattis consectetur purus sit amet fermentum.</w:t>
      </w:r>
    </w:p>
    <w:sectPr w:rsidR="007066BE" w:rsidSect="00404333">
      <w:headerReference w:type="even" r:id="rId10"/>
      <w:headerReference w:type="default" r:id="rId9"/>
      <w:footerReference w:type="even" r:id="rId13"/>
      <w:footerReference w:type="default" r:id="rId12"/>
      <w:headerReference w:type="first" r:id="rId11"/>
      <w:footerReference w:type="first" r:id="rId14"/>
      <w:pgSz w:w="11900" w:h="16840" w:code="9"/>
      <w:pgMar w:top="851" w:right="851" w:bottom="851" w:left="851" w:header="720" w:footer="720"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Helvetica Neue Light">
    <w:altName w:val="DINPro-Regular"/>
    <w:panose1 w:val="02000403000000020004"/>
    <w:charset w:val="00"/>
    <w:family w:val="auto"/>
    <w:pitch w:val="variable"/>
    <w:sig w:usb0="A00002FF" w:usb1="5000205B" w:usb2="00000002" w:usb3="00000000" w:csb0="00000007" w:csb1="00000000"/>
  </w:font>
  <w:font w:name="Calibri">
    <w:panose1 w:val="020F0502020204030204"/>
    <w:charset w:val="00"/>
    <w:family w:val="swiss"/>
    <w:pitch w:val="variable"/>
    <w:sig w:usb0="E0002AFF" w:usb1="C000ACFF" w:usb2="00000009" w:usb3="00000000" w:csb0="000001FF" w:csb1="00000000"/>
  </w:font>
  <w:font w:name="Avenir Next Condensed Medium">
    <w:panose1 w:val="020B0606020202020204"/>
    <w:charset w:val="00"/>
    <w:family w:val="swiss"/>
    <w:pitch w:val="variable"/>
    <w:sig w:usb0="8000002F" w:usb1="5000204A" w:usb2="00000000" w:usb3="00000000" w:csb0="0000009B" w:csb1="00000000"/>
  </w:font>
  <w:font w:name="Baskerville">
    <w:panose1 w:val="02020502070401020303"/>
    <w:charset w:val="00"/>
    <w:family w:val="roman"/>
    <w:pitch w:val="variable"/>
    <w:sig w:usb0="80000067" w:usb1="02000000" w:usb2="00000000" w:usb3="00000000" w:csb0="0000019F" w:csb1="00000000"/>
  </w:font>
  <w:font w:name="Gentium Plus">
    <w:panose1 w:val="02000503060000020004"/>
    <w:charset w:val="00"/>
    <w:family w:val="auto"/>
    <w:pitch w:val="variable"/>
    <w:sig w:usb0="E00002FF" w:usb1="5200A1FB" w:usb2="02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2693812"/>
      <w:docPartObj>
        <w:docPartGallery w:val="Page Numbers (Bottom of Page)"/>
        <w:docPartUnique/>
      </w:docPartObj>
    </w:sdtPr>
    <w:sdtEndPr>
      <w:rPr>
        <w:rStyle w:val="PageNumber"/>
      </w:rPr>
    </w:sdtEndPr>
    <w:sdtContent>
      <w:p w:rsidR="004F4200" w:rsidRDefault="00E9157B" w:rsidP="00C822A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F4200" w:rsidRDefault="00400059" w:rsidP="004F42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200" w:rsidRPr="003B28AF" w:rsidRDefault="009749D5" w:rsidP="003B28AF">
    <w:pPr>
      <w:tabs>
        <w:tab w:val="center" w:pos="4703"/>
        <w:tab w:val="right" w:pos="9406"/>
      </w:tabs>
      <w:spacing w:before="0"/>
      <w:ind w:right="-8"/>
      <w:contextualSpacing/>
      <w:jc w:val="right"/>
      <w:rPr>
        <w:rFonts w:eastAsia="Gentium Plus" w:cs="Times New Roman"/>
        <w:color w:val="000000"/>
        <w:sz w:val="20"/>
        <w:szCs w:val="20"/>
        <w:lang w:eastAsia="de-DE"/>
      </w:rPr>
    </w:pPr>
    <w:r w:rsidRPr="003B28AF">
      <w:rPr>
        <w:rFonts w:eastAsia="Gentium Plus" w:cs="Times New Roman"/>
        <w:color w:val="000000"/>
        <w:sz w:val="20"/>
        <w:szCs w:val="20"/>
        <w:lang w:eastAsia="de-DE"/>
      </w:rPr>
      <w:t xml:space="preserve">Part </w:t>
    </w:r>
    <w:r w:rsidRPr="003B28AF">
      <w:rPr>
        <w:rFonts w:eastAsia="Gentium Plus" w:cs="Times New Roman"/>
        <w:color w:val="000000"/>
        <w:sz w:val="20"/>
        <w:szCs w:val="20"/>
        <w:lang w:eastAsia="de-DE"/>
      </w:rPr>
      <w:t>B</w:t>
    </w:r>
    <w:r w:rsidR="003B28AF">
      <w:rPr>
        <w:rFonts w:eastAsia="Gentium Plus" w:cs="Times New Roman"/>
        <w:color w:val="000000"/>
        <w:sz w:val="20"/>
        <w:szCs w:val="20"/>
        <w:lang w:eastAsia="de-DE"/>
      </w:rPr>
      <w:t>-1</w:t>
    </w:r>
    <w:bookmarkStart w:id="31" w:name="_GoBack"/>
    <w:bookmarkEnd w:id="31"/>
    <w:r w:rsidRPr="003B28AF">
      <w:rPr>
        <w:rFonts w:eastAsia="Gentium Plus" w:cs="Times New Roman"/>
        <w:color w:val="000000"/>
        <w:sz w:val="20"/>
        <w:szCs w:val="20"/>
        <w:lang w:eastAsia="de-DE"/>
      </w:rPr>
      <w:t xml:space="preserve"> – Page </w:t>
    </w:r>
    <w:r w:rsidRPr="003B28AF">
      <w:rPr>
        <w:rFonts w:eastAsia="Gentium Plus" w:cs="Times New Roman"/>
        <w:color w:val="000000"/>
        <w:sz w:val="20"/>
        <w:szCs w:val="20"/>
        <w:lang w:eastAsia="de-DE"/>
      </w:rPr>
      <w:fldChar w:fldCharType="begin"/>
    </w:r>
    <w:r w:rsidRPr="003B28AF">
      <w:rPr>
        <w:rFonts w:eastAsia="Gentium Plus" w:cs="Times New Roman"/>
        <w:color w:val="000000"/>
        <w:sz w:val="20"/>
        <w:szCs w:val="20"/>
        <w:lang w:eastAsia="de-DE"/>
      </w:rPr>
      <w:instrText xml:space="preserve"> PAGE  \* MERGEFORMAT </w:instrText>
    </w:r>
    <w:r w:rsidRPr="003B28AF">
      <w:rPr>
        <w:rFonts w:eastAsia="Gentium Plus" w:cs="Times New Roman"/>
        <w:color w:val="000000"/>
        <w:sz w:val="20"/>
        <w:szCs w:val="20"/>
        <w:lang w:eastAsia="de-DE"/>
      </w:rPr>
      <w:fldChar w:fldCharType="separate"/>
    </w:r>
    <w:r w:rsidRPr="003B28AF">
      <w:rPr>
        <w:rFonts w:eastAsia="Gentium Plus" w:cs="Times New Roman"/>
        <w:color w:val="000000"/>
        <w:sz w:val="20"/>
        <w:szCs w:val="20"/>
        <w:lang w:eastAsia="de-DE"/>
      </w:rPr>
      <w:t>1</w:t>
    </w:r>
    <w:r w:rsidRPr="003B28AF">
      <w:rPr>
        <w:rFonts w:eastAsia="Gentium Plus" w:cs="Times New Roman"/>
        <w:color w:val="000000"/>
        <w:sz w:val="20"/>
        <w:szCs w:val="20"/>
        <w:lang w:eastAsia="de-DE"/>
      </w:rPr>
      <w:fldChar w:fldCharType="end"/>
    </w:r>
    <w:r w:rsidRPr="003B28AF">
      <w:rPr>
        <w:rFonts w:eastAsia="Gentium Plus" w:cs="Times New Roman"/>
        <w:color w:val="000000"/>
        <w:sz w:val="20"/>
        <w:szCs w:val="20"/>
        <w:lang w:eastAsia="de-DE"/>
      </w:rPr>
      <w:t xml:space="preserve"> of </w:t>
    </w:r>
    <w:r w:rsidRPr="003B28AF">
      <w:rPr>
        <w:rFonts w:eastAsia="Gentium Plus" w:cs="Times New Roman"/>
        <w:color w:val="000000"/>
        <w:sz w:val="20"/>
        <w:szCs w:val="20"/>
        <w:lang w:eastAsia="de-DE"/>
      </w:rPr>
      <w:fldChar w:fldCharType="begin"/>
    </w:r>
    <w:r w:rsidRPr="003B28AF">
      <w:rPr>
        <w:rFonts w:eastAsia="Gentium Plus" w:cs="Times New Roman"/>
        <w:color w:val="000000"/>
        <w:sz w:val="20"/>
        <w:szCs w:val="20"/>
        <w:lang w:eastAsia="de-DE"/>
      </w:rPr>
      <w:instrText xml:space="preserve"> NUMPAGES  \* MERGEFORMAT </w:instrText>
    </w:r>
    <w:r w:rsidRPr="003B28AF">
      <w:rPr>
        <w:rFonts w:eastAsia="Gentium Plus" w:cs="Times New Roman"/>
        <w:color w:val="000000"/>
        <w:sz w:val="20"/>
        <w:szCs w:val="20"/>
        <w:lang w:eastAsia="de-DE"/>
      </w:rPr>
      <w:fldChar w:fldCharType="separate"/>
    </w:r>
    <w:r w:rsidRPr="003B28AF">
      <w:rPr>
        <w:rFonts w:eastAsia="Gentium Plus" w:cs="Times New Roman"/>
        <w:color w:val="000000"/>
        <w:sz w:val="20"/>
        <w:szCs w:val="20"/>
        <w:lang w:eastAsia="de-DE"/>
      </w:rPr>
      <w:t>12</w:t>
    </w:r>
    <w:r w:rsidRPr="003B28AF">
      <w:rPr>
        <w:rFonts w:eastAsia="Gentium Plus" w:cs="Times New Roman"/>
        <w:color w:val="000000"/>
        <w:sz w:val="20"/>
        <w:szCs w:val="20"/>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8AF" w:rsidRDefault="003B28A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 ʿAskar,</w:t>
      </w:r>
      <w:r>
        <w:t xml:space="preserve"> </w:t>
      </w:r>
      <w:r>
        <w:rPr>
          <w:i/>
        </w:rPr>
        <w:t xml:space="preserve">Taṭawwur al-ṣiḥāfa al-Sūriyya</w:t>
      </w:r>
      <w:r>
        <w:t xml:space="preserve"> </w:t>
      </w:r>
      <w:r>
        <w:t xml:space="preserve">(al-Qāhira: Dār al-Nahḍa al-ʿArabiyya, 1973); A. Muruwwa,</w:t>
      </w:r>
      <w:r>
        <w:t xml:space="preserve"> </w:t>
      </w:r>
      <w:r>
        <w:rPr>
          <w:i/>
        </w:rPr>
        <w:t xml:space="preserve">al-Ṣiḥāfa al-ʿArabiyya</w:t>
      </w:r>
      <w:r>
        <w:t xml:space="preserve"> </w:t>
      </w:r>
      <w:r>
        <w:t xml:space="preserve">(Bayrūt: Dār Maktabat al-Ḥayyāt, 1961).</w:t>
      </w:r>
    </w:p>
  </w:footnote>
  <w:footnote w:id="22">
    <w:p>
      <w:pPr>
        <w:pStyle w:val="FootnoteText"/>
      </w:pPr>
      <w:r>
        <w:rPr>
          <w:rStyle w:val="FootnoteReference"/>
        </w:rPr>
        <w:footnoteRef/>
      </w:r>
      <w:r>
        <w:t xml:space="preserve"> </w:t>
      </w:r>
      <w:r>
        <w:t xml:space="preserve">E. L. Eisenstein,</w:t>
      </w:r>
      <w:r>
        <w:t xml:space="preserve"> </w:t>
      </w:r>
      <w:r>
        <w:rPr>
          <w:i/>
        </w:rPr>
        <w:t xml:space="preserve">The Printing Press as an Agent of Change</w:t>
      </w:r>
      <w:r>
        <w:t xml:space="preserve">, 2 vols (Cambridge: Cambridge University Press, 1980).</w:t>
      </w:r>
    </w:p>
  </w:footnote>
  <w:footnote w:id="23">
    <w:p>
      <w:pPr>
        <w:pStyle w:val="FootnoteText"/>
      </w:pPr>
      <w:r>
        <w:rPr>
          <w:rStyle w:val="FootnoteReference"/>
        </w:rPr>
        <w:footnoteRef/>
      </w:r>
      <w:r>
        <w:t xml:space="preserve"> </w:t>
      </w:r>
      <w:r>
        <w:t xml:space="preserve">T. Grallert,</w:t>
      </w:r>
      <w:r>
        <w:t xml:space="preserve"> </w:t>
      </w:r>
      <w:r>
        <w:rPr>
          <w:i/>
        </w:rPr>
        <w:t xml:space="preserve">al-Ustādh (OpenArabicPE)</w:t>
      </w:r>
      <w:r>
        <w:t xml:space="preserve">, version 0.1, 2019,</w:t>
      </w:r>
      <w:r>
        <w:t xml:space="preserve"> </w:t>
      </w:r>
      <w:hyperlink r:id="rId24">
        <w:r>
          <w:rPr>
            <w:rStyle w:val="Hyperlink"/>
          </w:rPr>
          <w:t xml:space="preserve">https://doi.org/10.5281/zenodo.3581028</w:t>
        </w:r>
      </w:hyperlink>
      <w:r>
        <w:t xml:space="preserve">; T. Grallert and P. Funk,</w:t>
      </w:r>
      <w:r>
        <w:t xml:space="preserve"> </w:t>
      </w:r>
      <w:r>
        <w:rPr>
          <w:i/>
        </w:rPr>
        <w:t xml:space="preserve">Lughat Al-ʿArab (OpenArabicPE)</w:t>
      </w:r>
      <w:r>
        <w:t xml:space="preserve">, version 0.1, 2019,</w:t>
      </w:r>
      <w:r>
        <w:t xml:space="preserve"> </w:t>
      </w:r>
      <w:hyperlink r:id="rId25">
        <w:r>
          <w:rPr>
            <w:rStyle w:val="Hyperlink"/>
          </w:rPr>
          <w:t xml:space="preserve">https://doi.org/https://doi.org/10.5281/zenodo.3514384</w:t>
        </w:r>
      </w:hyperlink>
      <w:r>
        <w:t xml:space="preserve">.</w:t>
      </w:r>
    </w:p>
  </w:footnote>
  <w:footnote w:id="27">
    <w:p>
      <w:pPr>
        <w:pStyle w:val="FootnoteText"/>
      </w:pPr>
      <w:r>
        <w:rPr>
          <w:rStyle w:val="FootnoteReference"/>
        </w:rPr>
        <w:footnoteRef/>
      </w:r>
      <w:r>
        <w:t xml:space="preserve"> </w:t>
      </w:r>
      <w:r>
        <w:t xml:space="preserve">D. Glaß,</w:t>
      </w:r>
      <w:r>
        <w:t xml:space="preserve"> </w:t>
      </w:r>
      <w:r>
        <w:rPr>
          <w:i/>
        </w:rPr>
        <w:t xml:space="preserve">Der Muqtaṭaf und seine Öffentlichkeit</w:t>
      </w:r>
      <w:r>
        <w:t xml:space="preserve">, vol. 1, 2 vol. (Würzburg: Ergon Verlag, 2004).</w:t>
      </w:r>
    </w:p>
  </w:footnote>
  <w:footnote w:id="28">
    <w:p>
      <w:pPr>
        <w:pStyle w:val="FootnoteText"/>
      </w:pPr>
      <w:r>
        <w:rPr>
          <w:rStyle w:val="FootnoteReference"/>
        </w:rPr>
        <w:footnoteRef/>
      </w:r>
      <w:r>
        <w:t xml:space="preserve"> </w:t>
      </w:r>
      <w:r>
        <w:t xml:space="preserve">T. Grallert, ‘Catch Me If You Can! Computational Approaches to Track the Late Ottoman Ideosphere of Authors and Periodicals in the Wasteland of the “Digitised” Arabic Press’, ed. Simone Lässig,</w:t>
      </w:r>
      <w:r>
        <w:t xml:space="preserve"> </w:t>
      </w:r>
      <w:r>
        <w:rPr>
          <w:i/>
        </w:rPr>
        <w:t xml:space="preserve">Geschichte Und Gesellschaft</w:t>
      </w:r>
      <w:r>
        <w:t xml:space="preserve">, no. Special Issue ‘Digital History’ (forthcoming); T. Grallert, ‘Open Arabic Periodical Editions: A Framework for Bootstrapped Scholarly Editions Outside the Global North’, ed. Alex Gil and Roopika Risam,</w:t>
      </w:r>
      <w:r>
        <w:t xml:space="preserve"> </w:t>
      </w:r>
      <w:r>
        <w:rPr>
          <w:i/>
        </w:rPr>
        <w:t xml:space="preserve">Digital Humanities Quarterly</w:t>
      </w:r>
      <w:r>
        <w:t xml:space="preserve"> </w:t>
      </w:r>
      <w:r>
        <w:t xml:space="preserve">Special Issue ‘Minimal Computing’ (forthcoming).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8AF" w:rsidRDefault="003B2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2DE" w:rsidRPr="004A42DE" w:rsidRDefault="004A42DE" w:rsidP="004A42DE">
    <w:pPr>
      <w:tabs>
        <w:tab w:val="center" w:pos="4703"/>
        <w:tab w:val="right" w:pos="9406"/>
      </w:tabs>
      <w:spacing w:before="0"/>
      <w:contextualSpacing/>
      <w:jc w:val="center"/>
      <w:rPr>
        <w:rFonts w:eastAsia="Gentium Plus" w:cs="Times New Roman"/>
        <w:color w:val="000000"/>
        <w:sz w:val="20"/>
        <w:szCs w:val="20"/>
        <w:lang w:val="de-DE" w:eastAsia="de-DE"/>
      </w:rPr>
    </w:pPr>
    <w:r>
      <w:rPr>
        <w:rFonts w:eastAsia="Gentium Plus" w:cs="Times New Roman"/>
        <w:color w:val="000000"/>
        <w:sz w:val="20"/>
        <w:szCs w:val="20"/>
        <w:lang w:eastAsia="de-DE"/>
      </w:rPr>
      <w:t>Acronym</w:t>
    </w:r>
    <w:r w:rsidRPr="004A42DE">
      <w:rPr>
        <w:rFonts w:eastAsia="Gentium Plus" w:cs="Times New Roman"/>
        <w:color w:val="000000"/>
        <w:sz w:val="20"/>
        <w:szCs w:val="20"/>
        <w:lang w:eastAsia="de-DE"/>
      </w:rPr>
      <w:t xml:space="preserve"> – EF-IR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8AF" w:rsidRDefault="003B2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8F65C3"/>
    <w:multiLevelType w:val="multilevel"/>
    <w:tmpl w:val="32D2FC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2B67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897C63"/>
    <w:multiLevelType w:val="multilevel"/>
    <w:tmpl w:val="7EBA43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FA10C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21FE5238"/>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340C8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AB86ACCE"/>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0E7AA5AC"/>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2E6078C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DA1AA4A8"/>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4DB20758"/>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329E2D1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66DEF32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3272B56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C1AE401"/>
    <w:multiLevelType w:val="multilevel"/>
    <w:tmpl w:val="275EC8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3D9FBE1"/>
    <w:multiLevelType w:val="multilevel"/>
    <w:tmpl w:val="8F68EB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2"/>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2"/>
  </w:num>
  <w:num w:numId="10">
    <w:abstractNumId w:val="2"/>
  </w:num>
  <w:num w:numId="11">
    <w:abstractNumId w:val="3"/>
  </w:num>
  <w:num w:numId="12">
    <w:abstractNumId w:val="4"/>
  </w:num>
  <w:num w:numId="13">
    <w:abstractNumId w:val="5"/>
  </w:num>
  <w:num w:numId="14">
    <w:abstractNumId w:val="6"/>
  </w:num>
  <w:num w:numId="15">
    <w:abstractNumId w:val="7"/>
  </w:num>
  <w:num w:numId="16">
    <w:abstractNumId w:val="12"/>
  </w:num>
  <w:num w:numId="17">
    <w:abstractNumId w:val="8"/>
  </w:num>
  <w:num w:numId="18">
    <w:abstractNumId w:val="9"/>
  </w:num>
  <w:num w:numId="19">
    <w:abstractNumId w:val="10"/>
  </w:num>
  <w:num w:numId="20">
    <w:abstractNumId w:val="11"/>
  </w:num>
  <w:num w:numId="21">
    <w:abstractNumId w:val="13"/>
  </w:num>
  <w:num w:numId="22">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5"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18467F"/>
    <w:pPr>
      <w:spacing w:after="0" w:before="60"/>
      <w:jc w:val="lowKashida"/>
    </w:pPr>
    <w:rPr>
      <w:rFonts w:ascii="Times New Roman" w:hAnsi="Times New Roman"/>
      <w:sz w:val="22"/>
    </w:rPr>
  </w:style>
  <w:style w:styleId="Heading1" w:type="paragraph">
    <w:name w:val="heading 1"/>
    <w:basedOn w:val="Normal"/>
    <w:next w:val="BodyText"/>
    <w:autoRedefine/>
    <w:uiPriority w:val="9"/>
    <w:qFormat/>
    <w:rsid w:val="00AD0787"/>
    <w:pPr>
      <w:keepNext/>
      <w:keepLines/>
      <w:spacing w:before="0"/>
      <w:jc w:val="left"/>
      <w:outlineLvl w:val="0"/>
    </w:pPr>
    <w:rPr>
      <w:rFonts w:ascii="Helvetica Neue Light" w:cstheme="majorBidi" w:eastAsiaTheme="majorEastAsia" w:hAnsi="Helvetica Neue Light"/>
      <w:bCs/>
      <w:sz w:val="28"/>
      <w:szCs w:val="32"/>
    </w:rPr>
  </w:style>
  <w:style w:styleId="Heading2" w:type="paragraph">
    <w:name w:val="heading 2"/>
    <w:basedOn w:val="Heading1"/>
    <w:next w:val="BodyText"/>
    <w:autoRedefine/>
    <w:uiPriority w:val="9"/>
    <w:unhideWhenUsed/>
    <w:qFormat/>
    <w:rsid w:val="00AD0787"/>
    <w:pPr>
      <w:spacing w:before="60"/>
      <w:outlineLvl w:val="1"/>
    </w:pPr>
    <w:rPr>
      <w:bCs w:val="0"/>
      <w:sz w:val="24"/>
    </w:rPr>
  </w:style>
  <w:style w:styleId="Heading3" w:type="paragraph">
    <w:name w:val="heading 3"/>
    <w:basedOn w:val="Heading2"/>
    <w:next w:val="BodyText"/>
    <w:autoRedefine/>
    <w:uiPriority w:val="9"/>
    <w:unhideWhenUsed/>
    <w:qFormat/>
    <w:rsid w:val="00AD0787"/>
    <w:pPr>
      <w:outlineLvl w:val="2"/>
    </w:pPr>
    <w:rPr>
      <w:bCs/>
      <w:sz w:val="22"/>
      <w:szCs w:val="28"/>
    </w:rPr>
  </w:style>
  <w:style w:styleId="Heading4" w:type="paragraph">
    <w:name w:val="heading 4"/>
    <w:basedOn w:val="Heading3"/>
    <w:next w:val="BodyText"/>
    <w:uiPriority w:val="9"/>
    <w:unhideWhenUsed/>
    <w:qFormat/>
    <w:rsid w:val="00177D88"/>
    <w:pPr>
      <w:outlineLvl w:val="3"/>
    </w:pPr>
    <w:rPr>
      <w:bCs w:val="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sz w:val="24"/>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8467F"/>
    <w:pPr>
      <w:widowControl w:val="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1"/>
    <w:next w:val="BodyText"/>
    <w:qFormat/>
    <w:rsid w:val="00B20082"/>
    <w:pPr>
      <w:spacing w:after="240"/>
      <w:jc w:val="center"/>
    </w:pPr>
    <w:rPr>
      <w:rFonts w:ascii="Avenir Next Condensed Medium" w:hAnsi="Avenir Next Condensed Medium"/>
      <w:bCs w:val="0"/>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811D2F"/>
    <w:pPr>
      <w:contextualSpacing/>
      <w:jc w:val="left"/>
    </w:pPr>
    <w:rPr>
      <w:sz w:val="18"/>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rsid w:val="00C8562C"/>
    <w:pPr>
      <w:jc w:val="right"/>
    </w:pPr>
    <w:rPr>
      <w:sz w:val="18"/>
    </w:rPr>
  </w:style>
  <w:style w:customStyle="1" w:styleId="Figure" w:type="paragraph">
    <w:name w:val="Figure"/>
    <w:basedOn w:val="Normal"/>
  </w:style>
  <w:style w:customStyle="1" w:styleId="FigurewithCaption" w:type="paragraph">
    <w:name w:val="Figure with Caption"/>
    <w:basedOn w:val="Figure"/>
    <w:rsid w:val="00E72504"/>
    <w:pPr>
      <w:keepNext/>
      <w:keepLines/>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75AF1"/>
    <w:rPr>
      <w:rFonts w:ascii="Courier New" w:hAnsi="Courier New"/>
      <w:sz w:val="20"/>
    </w:rPr>
  </w:style>
  <w:style w:styleId="FootnoteReference" w:type="character">
    <w:name w:val="footnote reference"/>
    <w:basedOn w:val="CaptionChar"/>
    <w:rsid w:val="0018467F"/>
    <w:rPr>
      <w:rFonts w:ascii="Times New Roman" w:hAnsi="Times New Roman"/>
      <w:vertAlign w:val="superscript"/>
    </w:rPr>
  </w:style>
  <w:style w:styleId="Hyperlink" w:type="character">
    <w:name w:val="Hyperlink"/>
    <w:basedOn w:val="CaptionChar"/>
    <w:rsid w:val="00B25374"/>
    <w:rPr>
      <w:color w:themeColor="text1" w:val="000000"/>
      <w:u w:val="none"/>
    </w:rPr>
  </w:style>
  <w:style w:styleId="TOCHeading" w:type="paragraph">
    <w:name w:val="TOC Heading"/>
    <w:basedOn w:val="Heading1"/>
    <w:next w:val="Body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rsid w:val="00A75AF1"/>
    <w:pPr>
      <w:wordWrap w:val="0"/>
      <w:spacing w:after="180" w:before="180"/>
    </w:pPr>
    <w:rPr>
      <w:sz w:val="20"/>
    </w:rPr>
  </w:style>
  <w:style w:customStyle="1" w:styleId="BodyTextChar" w:type="character">
    <w:name w:val="Body Text Char"/>
    <w:basedOn w:val="DefaultParagraphFont"/>
    <w:link w:val="BodyText"/>
    <w:rsid w:val="0018467F"/>
    <w:rPr>
      <w:rFonts w:ascii="Times New Roman" w:hAnsi="Times New Roman"/>
      <w:sz w:val="22"/>
    </w:rPr>
  </w:style>
  <w:style w:styleId="EndnoteReference" w:type="character">
    <w:name w:val="endnote reference"/>
    <w:basedOn w:val="DefaultParagraphFont"/>
    <w:semiHidden/>
    <w:unhideWhenUsed/>
    <w:rsid w:val="00B25D31"/>
    <w:rPr>
      <w:rFonts w:ascii="Baskerville" w:hAnsi="Baskerville"/>
      <w:vertAlign w:val="superscript"/>
    </w:rPr>
  </w:style>
  <w:style w:styleId="Quote" w:type="paragraph">
    <w:name w:val="Quote"/>
    <w:basedOn w:val="Normal"/>
    <w:next w:val="Normal"/>
    <w:link w:val="QuoteChar"/>
    <w:autoRedefine/>
    <w:qFormat/>
    <w:rsid w:val="00552F93"/>
    <w:pPr>
      <w:spacing w:after="160" w:before="200"/>
      <w:ind w:left="864" w:right="864"/>
    </w:pPr>
    <w:rPr>
      <w:iCs/>
    </w:rPr>
  </w:style>
  <w:style w:customStyle="1" w:styleId="QuoteChar" w:type="character">
    <w:name w:val="Quote Char"/>
    <w:basedOn w:val="DefaultParagraphFont"/>
    <w:link w:val="Quote"/>
    <w:rsid w:val="00552F93"/>
    <w:rPr>
      <w:rFonts w:ascii="Courier New" w:hAnsi="Courier New"/>
      <w:iCs/>
      <w:sz w:val="22"/>
    </w:rPr>
  </w:style>
  <w:style w:styleId="Footer" w:type="paragraph">
    <w:name w:val="footer"/>
    <w:basedOn w:val="Normal"/>
    <w:link w:val="FooterChar"/>
    <w:unhideWhenUsed/>
    <w:rsid w:val="004F4200"/>
    <w:pPr>
      <w:tabs>
        <w:tab w:pos="4703" w:val="center"/>
        <w:tab w:pos="9406" w:val="right"/>
      </w:tabs>
      <w:spacing w:before="0"/>
    </w:pPr>
  </w:style>
  <w:style w:customStyle="1" w:styleId="FooterChar" w:type="character">
    <w:name w:val="Footer Char"/>
    <w:basedOn w:val="DefaultParagraphFont"/>
    <w:link w:val="Footer"/>
    <w:rsid w:val="004F4200"/>
    <w:rPr>
      <w:rFonts w:ascii="Baskerville" w:hAnsi="Baskerville"/>
      <w:sz w:val="22"/>
    </w:rPr>
  </w:style>
  <w:style w:styleId="PageNumber" w:type="character">
    <w:name w:val="page number"/>
    <w:basedOn w:val="DefaultParagraphFont"/>
    <w:semiHidden/>
    <w:unhideWhenUsed/>
    <w:rsid w:val="004F4200"/>
    <w:rPr>
      <w:rFonts w:ascii="Times New Roman" w:hAnsi="Times New Roman"/>
    </w:rPr>
  </w:style>
  <w:style w:styleId="Header" w:type="paragraph">
    <w:name w:val="header"/>
    <w:basedOn w:val="Normal"/>
    <w:link w:val="HeaderChar"/>
    <w:unhideWhenUsed/>
    <w:rsid w:val="004F4200"/>
    <w:pPr>
      <w:tabs>
        <w:tab w:pos="4703" w:val="center"/>
        <w:tab w:pos="9406" w:val="right"/>
      </w:tabs>
      <w:spacing w:before="0"/>
    </w:pPr>
  </w:style>
  <w:style w:customStyle="1" w:styleId="HeaderChar" w:type="character">
    <w:name w:val="Header Char"/>
    <w:basedOn w:val="DefaultParagraphFont"/>
    <w:link w:val="Header"/>
    <w:rsid w:val="004F4200"/>
    <w:rPr>
      <w:rFonts w:ascii="Baskerville" w:hAnsi="Baskerville"/>
      <w:sz w:val="22"/>
    </w:rPr>
  </w:style>
  <w:style w:customStyle="1" w:styleId="KeywordTok" w:type="character">
    <w:name w:val="KeywordTok"/>
    <w:basedOn w:val="VerbatimChar"/>
    <w:rPr>
      <w:rFonts w:ascii="Courier New" w:hAnsi="Courier New"/>
      <w:b/>
      <w:color w:val="007020"/>
      <w:sz w:val="20"/>
    </w:rPr>
  </w:style>
  <w:style w:customStyle="1" w:styleId="DataTypeTok" w:type="character">
    <w:name w:val="DataTypeTok"/>
    <w:basedOn w:val="VerbatimChar"/>
    <w:rPr>
      <w:rFonts w:ascii="Courier New" w:hAnsi="Courier New"/>
      <w:color w:val="902000"/>
      <w:sz w:val="20"/>
    </w:rPr>
  </w:style>
  <w:style w:customStyle="1" w:styleId="DecValTok" w:type="character">
    <w:name w:val="DecValTok"/>
    <w:basedOn w:val="VerbatimChar"/>
    <w:rPr>
      <w:rFonts w:ascii="Courier New" w:hAnsi="Courier New"/>
      <w:color w:val="40A070"/>
      <w:sz w:val="20"/>
    </w:rPr>
  </w:style>
  <w:style w:customStyle="1" w:styleId="BaseNTok" w:type="character">
    <w:name w:val="BaseNTok"/>
    <w:basedOn w:val="VerbatimChar"/>
    <w:rPr>
      <w:rFonts w:ascii="Courier New" w:hAnsi="Courier New"/>
      <w:color w:val="40A070"/>
      <w:sz w:val="20"/>
    </w:rPr>
  </w:style>
  <w:style w:customStyle="1" w:styleId="FloatTok" w:type="character">
    <w:name w:val="FloatTok"/>
    <w:basedOn w:val="VerbatimChar"/>
    <w:rPr>
      <w:rFonts w:ascii="Courier New" w:hAnsi="Courier New"/>
      <w:color w:val="40A070"/>
      <w:sz w:val="20"/>
    </w:rPr>
  </w:style>
  <w:style w:customStyle="1" w:styleId="ConstantTok" w:type="character">
    <w:name w:val="ConstantTok"/>
    <w:basedOn w:val="VerbatimChar"/>
    <w:rPr>
      <w:rFonts w:ascii="Courier New" w:hAnsi="Courier New"/>
      <w:color w:val="880000"/>
      <w:sz w:val="20"/>
    </w:rPr>
  </w:style>
  <w:style w:customStyle="1" w:styleId="CharTok" w:type="character">
    <w:name w:val="CharTok"/>
    <w:basedOn w:val="VerbatimChar"/>
    <w:rPr>
      <w:rFonts w:ascii="Courier New" w:hAnsi="Courier New"/>
      <w:color w:val="4070A0"/>
      <w:sz w:val="20"/>
    </w:rPr>
  </w:style>
  <w:style w:customStyle="1" w:styleId="SpecialCharTok" w:type="character">
    <w:name w:val="SpecialCharTok"/>
    <w:basedOn w:val="VerbatimChar"/>
    <w:rPr>
      <w:rFonts w:ascii="Courier New" w:hAnsi="Courier New"/>
      <w:color w:val="4070A0"/>
      <w:sz w:val="20"/>
    </w:rPr>
  </w:style>
  <w:style w:customStyle="1" w:styleId="StringTok" w:type="character">
    <w:name w:val="StringTok"/>
    <w:basedOn w:val="VerbatimChar"/>
    <w:rPr>
      <w:rFonts w:ascii="Courier New" w:hAnsi="Courier New"/>
      <w:color w:val="4070A0"/>
      <w:sz w:val="20"/>
    </w:rPr>
  </w:style>
  <w:style w:customStyle="1" w:styleId="VerbatimStringTok" w:type="character">
    <w:name w:val="VerbatimStringTok"/>
    <w:basedOn w:val="VerbatimChar"/>
    <w:rPr>
      <w:rFonts w:ascii="Courier New" w:hAnsi="Courier New"/>
      <w:color w:val="4070A0"/>
      <w:sz w:val="20"/>
    </w:rPr>
  </w:style>
  <w:style w:customStyle="1" w:styleId="SpecialStringTok" w:type="character">
    <w:name w:val="SpecialStringTok"/>
    <w:basedOn w:val="VerbatimChar"/>
    <w:rPr>
      <w:rFonts w:ascii="Courier New" w:hAnsi="Courier New"/>
      <w:color w:val="BB6688"/>
      <w:sz w:val="20"/>
    </w:rPr>
  </w:style>
  <w:style w:customStyle="1" w:styleId="ImportTok" w:type="character">
    <w:name w:val="ImportTok"/>
    <w:basedOn w:val="VerbatimChar"/>
    <w:rPr>
      <w:rFonts w:ascii="Courier New" w:hAnsi="Courier New"/>
      <w:sz w:val="20"/>
    </w:rPr>
  </w:style>
  <w:style w:customStyle="1" w:styleId="CommentTok" w:type="character">
    <w:name w:val="CommentTok"/>
    <w:basedOn w:val="VerbatimChar"/>
    <w:rPr>
      <w:rFonts w:ascii="Courier New" w:hAnsi="Courier New"/>
      <w:i/>
      <w:color w:val="60A0B0"/>
      <w:sz w:val="20"/>
    </w:rPr>
  </w:style>
  <w:style w:customStyle="1" w:styleId="DocumentationTok" w:type="character">
    <w:name w:val="DocumentationTok"/>
    <w:basedOn w:val="VerbatimChar"/>
    <w:rPr>
      <w:rFonts w:ascii="Courier New" w:hAnsi="Courier New"/>
      <w:i/>
      <w:color w:val="BA2121"/>
      <w:sz w:val="20"/>
    </w:rPr>
  </w:style>
  <w:style w:customStyle="1" w:styleId="AnnotationTok" w:type="character">
    <w:name w:val="AnnotationTok"/>
    <w:basedOn w:val="VerbatimChar"/>
    <w:rPr>
      <w:rFonts w:ascii="Courier New" w:hAnsi="Courier New"/>
      <w:b/>
      <w:i/>
      <w:color w:val="60A0B0"/>
      <w:sz w:val="20"/>
    </w:rPr>
  </w:style>
  <w:style w:customStyle="1" w:styleId="CommentVarTok" w:type="character">
    <w:name w:val="CommentVarTok"/>
    <w:basedOn w:val="VerbatimChar"/>
    <w:rPr>
      <w:rFonts w:ascii="Courier New" w:hAnsi="Courier New"/>
      <w:b/>
      <w:i/>
      <w:color w:val="60A0B0"/>
      <w:sz w:val="20"/>
    </w:rPr>
  </w:style>
  <w:style w:customStyle="1" w:styleId="OtherTok" w:type="character">
    <w:name w:val="OtherTok"/>
    <w:basedOn w:val="VerbatimChar"/>
    <w:rPr>
      <w:rFonts w:ascii="Courier New" w:hAnsi="Courier New"/>
      <w:color w:val="007020"/>
      <w:sz w:val="20"/>
    </w:rPr>
  </w:style>
  <w:style w:customStyle="1" w:styleId="FunctionTok" w:type="character">
    <w:name w:val="FunctionTok"/>
    <w:basedOn w:val="VerbatimChar"/>
    <w:rPr>
      <w:rFonts w:ascii="Courier New" w:hAnsi="Courier New"/>
      <w:color w:val="06287E"/>
      <w:sz w:val="20"/>
    </w:rPr>
  </w:style>
  <w:style w:customStyle="1" w:styleId="VariableTok" w:type="character">
    <w:name w:val="VariableTok"/>
    <w:basedOn w:val="VerbatimChar"/>
    <w:rPr>
      <w:rFonts w:ascii="Courier New" w:hAnsi="Courier New"/>
      <w:color w:val="19177C"/>
      <w:sz w:val="20"/>
    </w:rPr>
  </w:style>
  <w:style w:customStyle="1" w:styleId="ControlFlowTok" w:type="character">
    <w:name w:val="ControlFlowTok"/>
    <w:basedOn w:val="VerbatimChar"/>
    <w:rPr>
      <w:rFonts w:ascii="Courier New" w:hAnsi="Courier New"/>
      <w:b/>
      <w:color w:val="007020"/>
      <w:sz w:val="20"/>
    </w:rPr>
  </w:style>
  <w:style w:customStyle="1" w:styleId="OperatorTok" w:type="character">
    <w:name w:val="OperatorTok"/>
    <w:basedOn w:val="VerbatimChar"/>
    <w:rPr>
      <w:rFonts w:ascii="Courier New" w:hAnsi="Courier New"/>
      <w:color w:val="666666"/>
      <w:sz w:val="20"/>
    </w:rPr>
  </w:style>
  <w:style w:customStyle="1" w:styleId="BuiltInTok" w:type="character">
    <w:name w:val="BuiltInTok"/>
    <w:basedOn w:val="VerbatimChar"/>
    <w:rPr>
      <w:rFonts w:ascii="Courier New" w:hAnsi="Courier New"/>
      <w:sz w:val="20"/>
    </w:rPr>
  </w:style>
  <w:style w:customStyle="1" w:styleId="ExtensionTok" w:type="character">
    <w:name w:val="ExtensionTok"/>
    <w:basedOn w:val="VerbatimChar"/>
    <w:rPr>
      <w:rFonts w:ascii="Courier New" w:hAnsi="Courier New"/>
      <w:sz w:val="20"/>
    </w:rPr>
  </w:style>
  <w:style w:customStyle="1" w:styleId="PreprocessorTok" w:type="character">
    <w:name w:val="PreprocessorTok"/>
    <w:basedOn w:val="VerbatimChar"/>
    <w:rPr>
      <w:rFonts w:ascii="Courier New" w:hAnsi="Courier New"/>
      <w:color w:val="BC7A00"/>
      <w:sz w:val="20"/>
    </w:rPr>
  </w:style>
  <w:style w:customStyle="1" w:styleId="AttributeTok" w:type="character">
    <w:name w:val="AttributeTok"/>
    <w:basedOn w:val="VerbatimChar"/>
    <w:rPr>
      <w:rFonts w:ascii="Courier New" w:hAnsi="Courier New"/>
      <w:color w:val="7D9029"/>
      <w:sz w:val="20"/>
    </w:rPr>
  </w:style>
  <w:style w:customStyle="1" w:styleId="RegionMarkerTok" w:type="character">
    <w:name w:val="RegionMarkerTok"/>
    <w:basedOn w:val="VerbatimChar"/>
    <w:rPr>
      <w:rFonts w:ascii="Courier New" w:hAnsi="Courier New"/>
      <w:sz w:val="20"/>
    </w:rPr>
  </w:style>
  <w:style w:customStyle="1" w:styleId="InformationTok" w:type="character">
    <w:name w:val="InformationTok"/>
    <w:basedOn w:val="VerbatimChar"/>
    <w:rPr>
      <w:rFonts w:ascii="Courier New" w:hAnsi="Courier New"/>
      <w:b/>
      <w:i/>
      <w:color w:val="60A0B0"/>
      <w:sz w:val="20"/>
    </w:rPr>
  </w:style>
  <w:style w:customStyle="1" w:styleId="WarningTok" w:type="character">
    <w:name w:val="WarningTok"/>
    <w:basedOn w:val="VerbatimChar"/>
    <w:rPr>
      <w:rFonts w:ascii="Courier New" w:hAnsi="Courier New"/>
      <w:b/>
      <w:i/>
      <w:color w:val="60A0B0"/>
      <w:sz w:val="20"/>
    </w:rPr>
  </w:style>
  <w:style w:customStyle="1" w:styleId="AlertTok" w:type="character">
    <w:name w:val="AlertTok"/>
    <w:basedOn w:val="VerbatimChar"/>
    <w:rPr>
      <w:rFonts w:ascii="Courier New" w:hAnsi="Courier New"/>
      <w:b/>
      <w:color w:val="FF0000"/>
      <w:sz w:val="20"/>
    </w:rPr>
  </w:style>
  <w:style w:customStyle="1" w:styleId="ErrorTok" w:type="character">
    <w:name w:val="ErrorTok"/>
    <w:basedOn w:val="VerbatimChar"/>
    <w:rPr>
      <w:rFonts w:ascii="Courier New" w:hAnsi="Courier New"/>
      <w:b/>
      <w:color w:val="FF0000"/>
      <w:sz w:val="20"/>
    </w:rPr>
  </w:style>
  <w:style w:customStyle="1" w:styleId="NormalTok" w:type="character">
    <w:name w:val="NormalTok"/>
    <w:basedOn w:val="VerbatimChar"/>
    <w:rPr>
      <w:rFonts w:ascii="Courier New" w:hAnsi="Courier New"/>
      <w:sz w:val="20"/>
    </w:rPr>
  </w:style>
  <w:style w:customStyle="1" w:styleId="HeadingInline" w:type="character">
    <w:name w:val="Heading (Inline)"/>
    <w:basedOn w:val="DefaultParagraphFont"/>
    <w:uiPriority w:val="1"/>
    <w:qFormat/>
    <w:rsid w:val="00B25374"/>
    <w:rPr>
      <w:rFonts w:ascii="Helvetica Neue Light" w:hAnsi="Helvetica Neue Light"/>
      <w:b w:val="0"/>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24" Target="https://doi.org/10.5281/zenodo.3581028" TargetMode="External" /><Relationship Type="http://schemas.openxmlformats.org/officeDocument/2006/relationships/hyperlink" Id="rId25" Target="https://doi.org/https://doi.org/10.5281/zenodo.3514384"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5281/zenodo.3581028" TargetMode="External" /><Relationship Type="http://schemas.openxmlformats.org/officeDocument/2006/relationships/hyperlink" Id="rId25" Target="https://doi.org/https://doi.org/10.5281/zenodo.35143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7416</Words>
  <Characters>42276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The Ideosphere of the Late Ottoman Arabic Press</vt:lpstr>
    </vt:vector>
  </TitlesOfParts>
  <Company/>
  <LinksUpToDate>false</LinksUpToDate>
  <CharactersWithSpaces>49593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MSCA</dc:title>
  <dc:creator>Till Grallert</dc:creator>
  <dc:language>en-GB</dc:language>
  <cp:keywords/>
  <dcterms:created xsi:type="dcterms:W3CDTF">2020-09-05T08:18:09Z</dcterms:created>
  <dcterms:modified xsi:type="dcterms:W3CDTF">2020-09-05T08:18:09Z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CID">
    <vt:lpwstr>orcid.org/0000-0002-5739-8094</vt:lpwstr>
  </property>
  <property fmtid="{D5CDD505-2E9C-101B-9397-08002B2CF9AE}" pid="3" name="bibliography">
    <vt:lpwstr>../assets/bibliography/2020-mcsa-if.csl.json</vt:lpwstr>
  </property>
  <property fmtid="{D5CDD505-2E9C-101B-9397-08002B2CF9AE}" pid="4" name="csl">
    <vt:lpwstr>/BachUni/BachBibliothek/CSL/chicago-fullnote-bibliography_msca.csl</vt:lpwstr>
  </property>
  <property fmtid="{D5CDD505-2E9C-101B-9397-08002B2CF9AE}" pid="5" name="date">
    <vt:lpwstr>2020-09-04</vt:lpwstr>
  </property>
  <property fmtid="{D5CDD505-2E9C-101B-9397-08002B2CF9AE}" pid="6" name="subtitle">
    <vt:lpwstr>Test formatting</vt:lpwstr>
  </property>
  <property fmtid="{D5CDD505-2E9C-101B-9397-08002B2CF9AE}" pid="7" name="suppress-bibliography">
    <vt:lpwstr>True</vt:lpwstr>
  </property>
</Properties>
</file>