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Urlaub und Abwesenheit</w:t>
      </w:r>
    </w:p>
    <w:p>
      <w:r>
        <w:t xml:space="preserve">Urlaubsanträge müssen spätestens zwei Wochen vor Beginn im Büro eingereicht werden.</w:t>
      </w:r>
    </w:p>
    <w:p>
      <w:r>
        <w:t xml:space="preserve">Über Brückentage entscheidet die Geschäftsführung bis Ende Januar.</w:t>
      </w:r>
    </w:p>
  </w:body>
</w:document>
</file>