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4E79"/>
          <w:spacing w:val="40"/>
          <w:sz w:val="18"/>
          <w:szCs w:val="18"/>
        </w:rPr>
        <w:t xml:space="preserve">ASK TILLY  ·  ASSET ALLOCATION THESIS</w:t>
      </w:r>
    </w:p>
    <w:p>
      <w:pPr>
        <w:spacing w:after="40" w:before="0"/>
      </w:pPr>
      <w:r>
        <w:rPr>
          <w:b/>
          <w:bCs/>
          <w:color w:val="1F2937"/>
          <w:sz w:val="44"/>
          <w:szCs w:val="44"/>
        </w:rPr>
        <w:t xml:space="preserve">Why we recommend the way we do</w:t>
      </w:r>
    </w:p>
    <w:p>
      <w:pPr>
        <w:spacing w:after="200" w:before="0"/>
      </w:pPr>
      <w:r>
        <w:rPr>
          <w:color w:val="595959"/>
          <w:sz w:val="18"/>
          <w:szCs w:val="18"/>
        </w:rPr>
        <w:t xml:space="preserve">Version 1.0  ·  Internal &amp; client reference  ·  </w:t>
      </w:r>
      <w:r>
        <w:rPr>
          <w:i/>
          <w:iCs/>
          <w:color w:val="595959"/>
          <w:sz w:val="18"/>
          <w:szCs w:val="18"/>
        </w:rPr>
        <w:t xml:space="preserve">Last updated: May 2026</w:t>
      </w:r>
    </w:p>
    <w:p>
      <w:pPr>
        <w:pBdr>
          <w:bottom w:val="single" w:color="1F4E79" w:sz="6" w:space="1"/>
        </w:pBdr>
        <w:spacing w:after="80" w:before="80"/>
      </w:pPr>
      <w:r>
        <w:t xml:space="preserve"/>
      </w:r>
    </w:p>
    <w:p>
      <w:pPr>
        <w:pStyle w:val="Heading2"/>
        <w:spacing w:after="80" w:before="200"/>
      </w:pPr>
      <w:r>
        <w:rPr>
          <w:b/>
          <w:bCs/>
          <w:color w:val="1F4E79"/>
          <w:sz w:val="26"/>
          <w:szCs w:val="26"/>
        </w:rPr>
        <w:t xml:space="preserve">The one-line thesis</w:t>
      </w:r>
    </w:p>
    <w:p>
      <w:pPr>
        <w:spacing w:after="80" w:before="60" w:line="300"/>
      </w:pPr>
      <w:r>
        <w:rPr>
          <w:sz w:val="22"/>
          <w:szCs w:val="22"/>
        </w:rPr>
        <w:t xml:space="preserve">Every investor deserves a portfolio that protects what they cannot afford to lose, grows what they can afford to invest, and stays inside guardrails proven by decades of market experience — without being held hostage to anyone's gut call. </w:t>
      </w:r>
      <w:r>
        <w:rPr>
          <w:i/>
          <w:iCs/>
          <w:sz w:val="22"/>
          <w:szCs w:val="22"/>
        </w:rPr>
        <w:t xml:space="preserve">That is what our allocation engine is built to do, and that is what every recommendation we make is grounded in.</w:t>
      </w:r>
    </w:p>
    <w:p>
      <w:pPr>
        <w:pStyle w:val="Heading2"/>
        <w:spacing w:after="80" w:before="200"/>
      </w:pPr>
      <w:r>
        <w:rPr>
          <w:b/>
          <w:bCs/>
          <w:color w:val="1F4E79"/>
          <w:sz w:val="26"/>
          <w:szCs w:val="26"/>
        </w:rPr>
        <w:t xml:space="preserve">Five principles that drive every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4"/>
              <w:left w:val="single" w:color="DDDDDD" w:sz="4"/>
              <w:bottom w:val="single" w:color="DDDDDD" w:sz="4"/>
              <w:right w:val="single" w:color="DDDDDD" w:sz="4"/>
            </w:tcBorders>
            <w:shd w:fill="1F4E79" w:val="clear"/>
            <w:tcMar>
              <w:top w:type="dxa" w:w="100"/>
              <w:left w:type="dxa" w:w="140"/>
              <w:bottom w:type="dxa" w:w="100"/>
              <w:right w:type="dxa" w:w="140"/>
            </w:tcMar>
          </w:tcPr>
          <w:p>
            <w:pPr>
              <w:spacing w:after="0" w:before="0"/>
            </w:pPr>
            <w:r>
              <w:rPr>
                <w:b/>
                <w:bCs/>
                <w:color w:val="FFFFFF"/>
                <w:sz w:val="22"/>
                <w:szCs w:val="22"/>
              </w:rPr>
              <w:t xml:space="preserve">Principle</w:t>
            </w:r>
          </w:p>
        </w:tc>
        <w:tc>
          <w:tcPr>
            <w:tcW w:type="dxa" w:w="6480"/>
            <w:tcBorders>
              <w:top w:val="single" w:color="DDDDDD" w:sz="4"/>
              <w:left w:val="single" w:color="DDDDDD" w:sz="4"/>
              <w:bottom w:val="single" w:color="DDDDDD" w:sz="4"/>
              <w:right w:val="single" w:color="DDDDDD" w:sz="4"/>
            </w:tcBorders>
            <w:shd w:fill="1F4E79" w:val="clear"/>
            <w:tcMar>
              <w:top w:type="dxa" w:w="100"/>
              <w:left w:type="dxa" w:w="140"/>
              <w:bottom w:type="dxa" w:w="100"/>
              <w:right w:type="dxa" w:w="140"/>
            </w:tcMar>
          </w:tcPr>
          <w:p>
            <w:pPr>
              <w:spacing w:after="0" w:before="0"/>
            </w:pPr>
            <w:r>
              <w:rPr>
                <w:b/>
                <w:bCs/>
                <w:color w:val="FFFFFF"/>
                <w:sz w:val="22"/>
                <w:szCs w:val="22"/>
              </w:rPr>
              <w:t xml:space="preserve">What it means in practice</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1. Safety first</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Money you might need in the next 1–3 years never goes into volatile assets. We ring-fence emergencies and known short-term needs before any market exposure is decided.</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2. Goal-anchored</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Allocation flows from the goal — wealth creation, regular income, or intergenerational transfer — and the time you have to reach it. The same risk profile produces different portfolios for different goals.</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3. Capacity, not just appetite</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We blend what you are willing to risk with what you can afford to risk (age, savings rate, occupation stability, net assets). When the two diverge sharply, we flag it rather than over-fit to either.</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4. Tax-efficient by default</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Tax outcomes are baked into the allocation, not bolted on. ELSS is allocated first when 80C headroom exists; hybrid funds replace pure debt for higher-income clients to defer tax drag.</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5. Guardrails over guesses</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Every allocation lives inside a published min/max band for every asset class and subgroup. Market views nudge within the band — they never breach it. No single view, no single client, gets a wild outlier portfolio.</w:t>
            </w:r>
          </w:p>
        </w:tc>
      </w:tr>
    </w:tbl>
    <w:p>
      <w:pPr>
        <w:pStyle w:val="Heading2"/>
        <w:spacing w:after="80" w:before="200"/>
      </w:pPr>
      <w:r>
        <w:rPr>
          <w:b/>
          <w:bCs/>
          <w:color w:val="1F4E79"/>
          <w:sz w:val="26"/>
          <w:szCs w:val="26"/>
        </w:rPr>
        <w:t xml:space="preserve">How a recommendation is built — in four deliberate steps</w:t>
      </w:r>
    </w:p>
    <w:p>
      <w:pPr>
        <w:spacing w:after="80" w:before="60" w:line="300"/>
      </w:pPr>
      <w:r>
        <w:rPr>
          <w:sz w:val="22"/>
          <w:szCs w:val="22"/>
        </w:rPr>
        <w:t xml:space="preserve">We refuse to compress this into a black box. Every Ask Tilly recommendation is the output of four sequential, auditable steps — and we can walk you through any of them on demand.</w:t>
      </w:r>
    </w:p>
    <w:p>
      <w:pPr>
        <w:pStyle w:val="Heading3"/>
        <w:spacing w:after="60" w:before="160"/>
      </w:pPr>
      <w:r>
        <w:rPr>
          <w:b/>
          <w:bCs/>
          <w:color w:val="2E2E2E"/>
          <w:sz w:val="22"/>
          <w:szCs w:val="22"/>
        </w:rPr>
        <w:t xml:space="preserve">Step 1 — Carve-outs: protect the near term first</w:t>
      </w:r>
    </w:p>
    <w:p>
      <w:pPr>
        <w:pStyle w:val="ListParagraph"/>
        <w:numPr>
          <w:ilvl w:val="0"/>
          <w:numId w:val="2"/>
        </w:numPr>
        <w:spacing w:after="30" w:before="30" w:line="290"/>
      </w:pPr>
      <w:r>
        <w:rPr>
          <w:b/>
          <w:bCs/>
          <w:sz w:val="22"/>
          <w:szCs w:val="22"/>
        </w:rPr>
        <w:t xml:space="preserve">Emergency fund: </w:t>
      </w:r>
      <w:r>
        <w:rPr>
          <w:sz w:val="22"/>
          <w:szCs w:val="22"/>
        </w:rPr>
        <w:t xml:space="preserve">3–6 months of household expenses in overnight or liquid funds, sized to the client's savings rate. An additional 9 months is set aside in ultra-short / money-market funds when the client is living off the portfolio.</w:t>
      </w:r>
    </w:p>
    <w:p>
      <w:pPr>
        <w:pStyle w:val="ListParagraph"/>
        <w:numPr>
          <w:ilvl w:val="0"/>
          <w:numId w:val="2"/>
        </w:numPr>
        <w:spacing w:after="30" w:before="30" w:line="290"/>
      </w:pPr>
      <w:r>
        <w:rPr>
          <w:b/>
          <w:bCs/>
          <w:sz w:val="22"/>
          <w:szCs w:val="22"/>
        </w:rPr>
        <w:t xml:space="preserve">Short-term goals: </w:t>
      </w:r>
      <w:r>
        <w:rPr>
          <w:sz w:val="22"/>
          <w:szCs w:val="22"/>
        </w:rPr>
        <w:t xml:space="preserve">Outflows expected in under 12 months go 100% into safe debt; outflows in 1–3 years go at least 70% into short-term debt with the balance dictated by risk capacity.</w:t>
      </w:r>
    </w:p>
    <w:p>
      <w:pPr>
        <w:pStyle w:val="ListParagraph"/>
        <w:numPr>
          <w:ilvl w:val="0"/>
          <w:numId w:val="2"/>
        </w:numPr>
        <w:spacing w:after="30" w:before="30" w:line="290"/>
      </w:pPr>
      <w:r>
        <w:rPr>
          <w:b/>
          <w:bCs/>
          <w:sz w:val="22"/>
          <w:szCs w:val="22"/>
        </w:rPr>
        <w:t xml:space="preserve">Negative net financial assets: </w:t>
      </w:r>
      <w:r>
        <w:rPr>
          <w:sz w:val="22"/>
          <w:szCs w:val="22"/>
        </w:rPr>
        <w:t xml:space="preserve">If liabilities exceed financial assets, the shortfall is buffered in liquid debt before any equity exposure is contemplated.</w:t>
      </w:r>
    </w:p>
    <w:p>
      <w:pPr>
        <w:spacing w:after="80" w:before="60" w:line="300"/>
      </w:pPr>
      <w:r>
        <w:rPr>
          <w:b/>
          <w:bCs/>
          <w:i/>
          <w:iCs/>
          <w:sz w:val="22"/>
          <w:szCs w:val="22"/>
        </w:rPr>
        <w:t xml:space="preserve">Why this matters: </w:t>
      </w:r>
      <w:r>
        <w:rPr>
          <w:i/>
          <w:iCs/>
          <w:color w:val="595959"/>
          <w:sz w:val="22"/>
          <w:szCs w:val="22"/>
        </w:rPr>
        <w:t xml:space="preserve">the most common reason long-term portfolios fail is the forced sale at the wrong time. Carve-outs make that scenario structurally unlikely.</w:t>
      </w:r>
    </w:p>
    <w:p>
      <w:pPr>
        <w:pStyle w:val="Heading3"/>
        <w:spacing w:after="60" w:before="160"/>
      </w:pPr>
      <w:r>
        <w:rPr>
          <w:b/>
          <w:bCs/>
          <w:color w:val="2E2E2E"/>
          <w:sz w:val="22"/>
          <w:szCs w:val="22"/>
        </w:rPr>
        <w:t xml:space="preserve">Step 2 — Asset class allocation: equity, debt, others</w:t>
      </w:r>
    </w:p>
    <w:p>
      <w:pPr>
        <w:pStyle w:val="ListParagraph"/>
        <w:numPr>
          <w:ilvl w:val="0"/>
          <w:numId w:val="2"/>
        </w:numPr>
        <w:spacing w:after="30" w:before="30" w:line="290"/>
      </w:pPr>
      <w:r>
        <w:rPr>
          <w:sz w:val="22"/>
          <w:szCs w:val="22"/>
        </w:rPr>
        <w:t xml:space="preserve">The remaining corpus is split across equities, debt and others using a </w:t>
      </w:r>
      <w:r>
        <w:rPr>
          <w:b/>
          <w:bCs/>
          <w:sz w:val="22"/>
          <w:szCs w:val="22"/>
        </w:rPr>
        <w:t xml:space="preserve">risk-score driven min/max table</w:t>
      </w:r>
      <w:r>
        <w:rPr>
          <w:sz w:val="22"/>
          <w:szCs w:val="22"/>
        </w:rPr>
        <w:t xml:space="preserve"> (scores 1–10). Conservative scores cap equity tightly; aggressive scores raise the ceiling but never remove a debt floor.</w:t>
      </w:r>
    </w:p>
    <w:p>
      <w:pPr>
        <w:pStyle w:val="ListParagraph"/>
        <w:numPr>
          <w:ilvl w:val="0"/>
          <w:numId w:val="2"/>
        </w:numPr>
        <w:spacing w:after="30" w:before="30" w:line="290"/>
      </w:pPr>
      <w:r>
        <w:rPr>
          <w:b/>
          <w:bCs/>
          <w:sz w:val="22"/>
          <w:szCs w:val="22"/>
        </w:rPr>
        <w:t xml:space="preserve">Horizon adjustment: </w:t>
      </w:r>
      <w:r>
        <w:rPr>
          <w:sz w:val="22"/>
          <w:szCs w:val="22"/>
        </w:rPr>
        <w:t xml:space="preserve">medium-term goals (3–10 years) use a deterministic equity formula so the allocation scales smoothly with time, capped by the age-derived ceiling.</w:t>
      </w:r>
    </w:p>
    <w:p>
      <w:pPr>
        <w:pStyle w:val="ListParagraph"/>
        <w:numPr>
          <w:ilvl w:val="0"/>
          <w:numId w:val="2"/>
        </w:numPr>
        <w:spacing w:after="30" w:before="30" w:line="290"/>
      </w:pPr>
      <w:r>
        <w:rPr>
          <w:b/>
          <w:bCs/>
          <w:sz w:val="22"/>
          <w:szCs w:val="22"/>
        </w:rPr>
        <w:t xml:space="preserve">Intergenerational transfer override: </w:t>
      </w:r>
      <w:r>
        <w:rPr>
          <w:sz w:val="22"/>
          <w:szCs w:val="22"/>
        </w:rPr>
        <w:t xml:space="preserve">for clients over 60 investing for the next generation, we use the risk profile of a 45-year-old — because the relevant horizon is the heir's, not the holder's.</w:t>
      </w:r>
    </w:p>
    <w:p>
      <w:pPr>
        <w:pStyle w:val="ListParagraph"/>
        <w:numPr>
          <w:ilvl w:val="0"/>
          <w:numId w:val="2"/>
        </w:numPr>
        <w:spacing w:after="30" w:before="30" w:line="290"/>
      </w:pPr>
      <w:r>
        <w:rPr>
          <w:b/>
          <w:bCs/>
          <w:sz w:val="22"/>
          <w:szCs w:val="22"/>
        </w:rPr>
        <w:t xml:space="preserve">Market commentary overlay: </w:t>
      </w:r>
      <w:r>
        <w:rPr>
          <w:sz w:val="22"/>
          <w:szCs w:val="22"/>
        </w:rPr>
        <w:t xml:space="preserve">a house view of 1–10 nudges allocations within the band (5 = midpoint, 10 = top of band, 1 = bottom). It never breaches min/max — that is the invariant.</w:t>
      </w:r>
    </w:p>
    <w:p>
      <w:pPr>
        <w:pStyle w:val="Heading3"/>
        <w:spacing w:after="60" w:before="160"/>
      </w:pPr>
      <w:r>
        <w:rPr>
          <w:b/>
          <w:bCs/>
          <w:color w:val="2E2E2E"/>
          <w:sz w:val="22"/>
          <w:szCs w:val="22"/>
        </w:rPr>
        <w:t xml:space="preserve">Step 3 — Subgroup allocation: where exactly the money goes</w:t>
      </w:r>
    </w:p>
    <w:p>
      <w:pPr>
        <w:pStyle w:val="ListParagraph"/>
        <w:numPr>
          <w:ilvl w:val="0"/>
          <w:numId w:val="2"/>
        </w:numPr>
        <w:spacing w:after="30" w:before="30" w:line="290"/>
      </w:pPr>
      <w:r>
        <w:rPr>
          <w:b/>
          <w:bCs/>
          <w:sz w:val="22"/>
          <w:szCs w:val="22"/>
        </w:rPr>
        <w:t xml:space="preserve">Phase A (ELSS first-pass): </w:t>
      </w:r>
      <w:r>
        <w:rPr>
          <w:sz w:val="22"/>
          <w:szCs w:val="22"/>
        </w:rPr>
        <w:t xml:space="preserve">if the client is in the old tax regime with unused 80C, we allocate the headroom to ELSS before any other equity decision — because the tax saving is a guaranteed return on the first ₹1.5L of equity.</w:t>
      </w:r>
    </w:p>
    <w:p>
      <w:pPr>
        <w:pStyle w:val="ListParagraph"/>
        <w:numPr>
          <w:ilvl w:val="0"/>
          <w:numId w:val="2"/>
        </w:numPr>
        <w:spacing w:after="30" w:before="30" w:line="290"/>
      </w:pPr>
      <w:r>
        <w:rPr>
          <w:b/>
          <w:bCs/>
          <w:sz w:val="22"/>
          <w:szCs w:val="22"/>
        </w:rPr>
        <w:t xml:space="preserve">Phase B (tax-efficient debt): </w:t>
      </w:r>
      <w:r>
        <w:rPr>
          <w:sz w:val="22"/>
          <w:szCs w:val="22"/>
        </w:rPr>
        <w:t xml:space="preserve">for clients earning above ₹16L p.a., pure debt is replaced with hybrid funds where guardrails permit. Hybrids are accounted as 65% equity / 35% debt — letting the client retain debt-like behaviour with equity-like tax treatment.</w:t>
      </w:r>
    </w:p>
    <w:p>
      <w:pPr>
        <w:pStyle w:val="ListParagraph"/>
        <w:numPr>
          <w:ilvl w:val="0"/>
          <w:numId w:val="2"/>
        </w:numPr>
        <w:spacing w:after="30" w:before="30" w:line="290"/>
      </w:pPr>
      <w:r>
        <w:rPr>
          <w:b/>
          <w:bCs/>
          <w:sz w:val="22"/>
          <w:szCs w:val="22"/>
        </w:rPr>
        <w:t xml:space="preserve">Phase C (residual equity): </w:t>
      </w:r>
      <w:r>
        <w:rPr>
          <w:sz w:val="22"/>
          <w:szCs w:val="22"/>
        </w:rPr>
        <w:t xml:space="preserve">the remaining equity is split across seven subgroups — low-beta, value, dividend, medium-beta, high-beta, sector and US equities — with each subgroup constrained to a published min/max for that risk score.</w:t>
      </w:r>
    </w:p>
    <w:p>
      <w:pPr>
        <w:pStyle w:val="ListParagraph"/>
        <w:numPr>
          <w:ilvl w:val="0"/>
          <w:numId w:val="2"/>
        </w:numPr>
        <w:spacing w:after="30" w:before="30" w:line="290"/>
      </w:pPr>
      <w:r>
        <w:rPr>
          <w:b/>
          <w:bCs/>
          <w:sz w:val="22"/>
          <w:szCs w:val="22"/>
        </w:rPr>
        <w:t xml:space="preserve">Debt subgroups: </w:t>
      </w:r>
      <w:r>
        <w:rPr>
          <w:sz w:val="22"/>
          <w:szCs w:val="22"/>
        </w:rPr>
        <w:t xml:space="preserve">near, short, medium, long-duration, floating, and high-risk debt are sized using the same min/max discipline so duration and credit risk are never concentrated.</w:t>
      </w:r>
    </w:p>
    <w:p>
      <w:pPr>
        <w:pStyle w:val="Heading3"/>
        <w:spacing w:after="60" w:before="160"/>
      </w:pPr>
      <w:r>
        <w:rPr>
          <w:b/>
          <w:bCs/>
          <w:color w:val="2E2E2E"/>
          <w:sz w:val="22"/>
          <w:szCs w:val="22"/>
        </w:rPr>
        <w:t xml:space="preserve">Step 4 — Guardrails: validation before delivery</w:t>
      </w:r>
    </w:p>
    <w:p>
      <w:pPr>
        <w:pStyle w:val="ListParagraph"/>
        <w:numPr>
          <w:ilvl w:val="0"/>
          <w:numId w:val="2"/>
        </w:numPr>
        <w:spacing w:after="30" w:before="30" w:line="290"/>
      </w:pPr>
      <w:r>
        <w:rPr>
          <w:sz w:val="22"/>
          <w:szCs w:val="22"/>
        </w:rPr>
        <w:t xml:space="preserve">Class totals sum to 100%, every subgroup sits inside its band, and subgroup sums reconcile to the parent class.</w:t>
      </w:r>
    </w:p>
    <w:p>
      <w:pPr>
        <w:pStyle w:val="ListParagraph"/>
        <w:numPr>
          <w:ilvl w:val="0"/>
          <w:numId w:val="2"/>
        </w:numPr>
        <w:spacing w:after="30" w:before="30" w:line="290"/>
      </w:pPr>
      <w:r>
        <w:rPr>
          <w:sz w:val="22"/>
          <w:szCs w:val="22"/>
        </w:rPr>
        <w:t xml:space="preserve">All allocations are rounded to whole-number percentages, with rupee amounts rounded to the nearest ₹100 — no fictitious precision, no rounding errors that compound.</w:t>
      </w:r>
    </w:p>
    <w:p>
      <w:pPr>
        <w:pStyle w:val="ListParagraph"/>
        <w:numPr>
          <w:ilvl w:val="0"/>
          <w:numId w:val="2"/>
        </w:numPr>
        <w:spacing w:after="30" w:before="30" w:line="290"/>
      </w:pPr>
      <w:r>
        <w:rPr>
          <w:sz w:val="22"/>
          <w:szCs w:val="22"/>
        </w:rPr>
        <w:t xml:space="preserve">Any subgroup below 1% is dropped and redistributed proportionally — small slivers add complexity without diversification benefit.</w:t>
      </w:r>
    </w:p>
    <w:p>
      <w:pPr>
        <w:pStyle w:val="Heading2"/>
        <w:spacing w:after="80" w:before="200"/>
      </w:pPr>
      <w:r>
        <w:rPr>
          <w:b/>
          <w:bCs/>
          <w:color w:val="1F4E79"/>
          <w:sz w:val="26"/>
          <w:szCs w:val="26"/>
        </w:rPr>
        <w:t xml:space="preserve">Why a customer should trust this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4"/>
              <w:left w:val="single" w:color="DDDDDD" w:sz="4"/>
              <w:bottom w:val="single" w:color="DDDDDD" w:sz="4"/>
              <w:right w:val="single" w:color="DDDDDD" w:sz="4"/>
            </w:tcBorders>
            <w:shd w:fill="1F4E79" w:val="clear"/>
            <w:tcMar>
              <w:top w:type="dxa" w:w="100"/>
              <w:left w:type="dxa" w:w="140"/>
              <w:bottom w:type="dxa" w:w="100"/>
              <w:right w:type="dxa" w:w="140"/>
            </w:tcMar>
          </w:tcPr>
          <w:p>
            <w:pPr>
              <w:spacing w:after="0" w:before="0"/>
            </w:pPr>
            <w:r>
              <w:rPr>
                <w:b/>
                <w:bCs/>
                <w:color w:val="FFFFFF"/>
                <w:sz w:val="22"/>
                <w:szCs w:val="22"/>
              </w:rPr>
              <w:t xml:space="preserve">Question</w:t>
            </w:r>
          </w:p>
        </w:tc>
        <w:tc>
          <w:tcPr>
            <w:tcW w:type="dxa" w:w="6480"/>
            <w:tcBorders>
              <w:top w:val="single" w:color="DDDDDD" w:sz="4"/>
              <w:left w:val="single" w:color="DDDDDD" w:sz="4"/>
              <w:bottom w:val="single" w:color="DDDDDD" w:sz="4"/>
              <w:right w:val="single" w:color="DDDDDD" w:sz="4"/>
            </w:tcBorders>
            <w:shd w:fill="1F4E79" w:val="clear"/>
            <w:tcMar>
              <w:top w:type="dxa" w:w="100"/>
              <w:left w:type="dxa" w:w="140"/>
              <w:bottom w:type="dxa" w:w="100"/>
              <w:right w:type="dxa" w:w="140"/>
            </w:tcMar>
          </w:tcPr>
          <w:p>
            <w:pPr>
              <w:spacing w:after="0" w:before="0"/>
            </w:pPr>
            <w:r>
              <w:rPr>
                <w:b/>
                <w:bCs/>
                <w:color w:val="FFFFFF"/>
                <w:sz w:val="22"/>
                <w:szCs w:val="22"/>
              </w:rPr>
              <w:t xml:space="preserve">Our answer</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Why is my equity at X% and not higher?</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Because at your risk score and horizon, the published band caps equity at X%. The cap exists because portfolios above it have historically required levels of conviction and behavioural discipline that few investors sustain through a drawdown.</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Why so much in liquid / short debt?</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Because we have separated your near-term spending needs from your long-term portfolio. The liquid allocation is not idle money — it is the reason the long-term portfolio can stay invested through any market.</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Why ELSS / hybrid funds in particular?</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Because tax efficiency is a deterministic component of return. Where the rules give us a tax advantage at no incremental risk, we take it first.</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Why won't you just chase the hot sector?</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Sector and high-beta allocations are capped — typically at 5–10% — because the asymmetric downside of concentrated bets is not consistent with anyone's stated goals when they sign up.</w:t>
            </w:r>
          </w:p>
        </w:tc>
      </w:tr>
      <w:tr>
        <w:tc>
          <w:tcPr>
            <w:tcW w:type="dxa" w:w="2880"/>
            <w:tcBorders>
              <w:top w:val="single" w:color="DDDDDD" w:sz="4"/>
              <w:left w:val="single" w:color="DDDDDD" w:sz="4"/>
              <w:bottom w:val="single" w:color="DDDDDD" w:sz="4"/>
              <w:right w:val="single" w:color="DDDDDD" w:sz="4"/>
            </w:tcBorders>
            <w:shd w:fill="D9E2F3" w:val="clear"/>
            <w:tcMar>
              <w:top w:type="dxa" w:w="100"/>
              <w:left w:type="dxa" w:w="140"/>
              <w:bottom w:type="dxa" w:w="100"/>
              <w:right w:type="dxa" w:w="140"/>
            </w:tcMar>
          </w:tcPr>
          <w:p>
            <w:pPr>
              <w:spacing w:after="0" w:before="0"/>
            </w:pPr>
            <w:r>
              <w:rPr>
                <w:b/>
                <w:bCs/>
                <w:color w:val="1F2937"/>
                <w:sz w:val="22"/>
                <w:szCs w:val="22"/>
              </w:rPr>
              <w:t xml:space="preserve">What changes when markets change?</w:t>
            </w:r>
          </w:p>
        </w:tc>
        <w:tc>
          <w:tcPr>
            <w:tcW w:type="dxa" w:w="6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b w:val="false"/>
                <w:bCs w:val="false"/>
                <w:color w:val="1F2937"/>
                <w:sz w:val="22"/>
                <w:szCs w:val="22"/>
              </w:rPr>
              <w:t xml:space="preserve">Our market view nudges allocations within the bands — never beyond them. You will see the view score on every recommendation, and you can ask why it was set the way it was.</w:t>
            </w:r>
          </w:p>
        </w:tc>
      </w:tr>
    </w:tbl>
    <w:p>
      <w:pPr>
        <w:pStyle w:val="Heading2"/>
        <w:spacing w:after="80" w:before="200"/>
      </w:pPr>
      <w:r>
        <w:rPr>
          <w:b/>
          <w:bCs/>
          <w:color w:val="1F4E79"/>
          <w:sz w:val="26"/>
          <w:szCs w:val="26"/>
        </w:rPr>
        <w:t xml:space="preserve">What this thesis is — and is not</w:t>
      </w:r>
    </w:p>
    <w:p>
      <w:pPr>
        <w:spacing w:after="80" w:before="60" w:line="300"/>
      </w:pPr>
      <w:r>
        <w:rPr>
          <w:i/>
          <w:iCs/>
          <w:color w:val="595959"/>
          <w:sz w:val="22"/>
          <w:szCs w:val="22"/>
        </w:rPr>
        <w:t xml:space="preserve">This document is a reference. It is not a prediction, not a guarantee of returns, and not a substitute for the actual recommendation, which is always personalised. The bands, formulas and overlays are reviewed periodically and may evolve as market structure and tax law change. When that happens, this thesis is updated and dated.</w:t>
      </w:r>
    </w:p>
    <w:p>
      <w:pPr>
        <w:pBdr>
          <w:bottom w:val="single" w:color="1F4E79" w:sz="6" w:space="1"/>
        </w:pBdr>
        <w:spacing w:after="80" w:before="80"/>
      </w:pPr>
      <w:r>
        <w:t xml:space="preserve"/>
      </w:r>
    </w:p>
    <w:p>
      <w:pPr>
        <w:spacing w:after="80" w:before="60" w:line="300"/>
      </w:pPr>
      <w:r>
        <w:rPr>
          <w:color w:val="595959"/>
          <w:sz w:val="18"/>
          <w:szCs w:val="18"/>
        </w:rPr>
        <w:t xml:space="preserve">Ask Tilly  ·  Allocation Thesis v1.0  ·  </w:t>
      </w:r>
      <w:r>
        <w:rPr>
          <w:color w:val="595959"/>
          <w:sz w:val="18"/>
          <w:szCs w:val="18"/>
        </w:rPr>
        <w:t xml:space="preserve">Owner: Investment Research  ·  </w:t>
      </w:r>
      <w:r>
        <w:rPr>
          <w:i/>
          <w:iCs/>
          <w:color w:val="595959"/>
          <w:sz w:val="18"/>
          <w:szCs w:val="18"/>
        </w:rPr>
        <w:t xml:space="preserve">Cycle: reviewed quarterly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Ask Tilly  ·  Allocation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Allocation Thesis — v1</dc:title>
  <dc:creator>Ask Tilly</dc:creator>
  <cp:lastModifiedBy>Un-named</cp:lastModifiedBy>
  <cp:revision>1</cp:revision>
  <dcterms:created xsi:type="dcterms:W3CDTF">2026-05-06T11:49:46.422Z</dcterms:created>
  <dcterms:modified xsi:type="dcterms:W3CDTF">2026-05-06T11:49:46.423Z</dcterms:modified>
</cp:coreProperties>
</file>

<file path=docProps/custom.xml><?xml version="1.0" encoding="utf-8"?>
<Properties xmlns="http://schemas.openxmlformats.org/officeDocument/2006/custom-properties" xmlns:vt="http://schemas.openxmlformats.org/officeDocument/2006/docPropsVTypes"/>
</file>