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1.xml" ContentType="application/vnd.openxmlformats-officedocument.drawingml.chart+xml"/>
  <Override PartName="/word/diagrams/data1.xml" ContentType="application/vnd.openxmlformats-officedocument.drawingml.diagramData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>Revenue grew strongly in the second half.</w:t>
      </w:r>
    </w:p>
    <w:p>
      <w:r>
        <w:drawing>
          <wp:inline xmlns:wp="http://schemas.openxmlformats.org/drawingml/2006/wordprocessingDrawing">
            <wp:extent cx="5486400" cy="3200400"/>
            <wp:docPr id="101" name="Graphic"/>
            <a:graphic xmlns:a="http://schemas.openxmlformats.org/drawingml/2006/main">
              <a:graphicData>
                <c:chart xmlns:c="http://schemas.openxmlformats.org/drawingml/2006/chart" xmlns:r="http://schemas.openxmlformats.org/officeDocument/2006/relationships" r:id="rIdC1"/>
              </a:graphicData>
            </a:graphic>
          </wp:inline>
        </w:drawing>
      </w:r>
    </w:p>
    <w:p>
      <w:r>
        <w:t>Our process:</w:t>
      </w:r>
    </w:p>
    <w:p>
      <w:r>
        <w:drawing>
          <wp:inline xmlns:wp="http://schemas.openxmlformats.org/drawingml/2006/wordprocessingDrawing">
            <wp:extent cx="5486400" cy="3200400"/>
            <wp:docPr id="102" name="Graphic"/>
            <a:graphic xmlns:a="http://schemas.openxmlformats.org/drawingml/2006/main">
              <a:graphicData>
                <dgm:relIds xmlns:dgm="http://schemas.openxmlformats.org/drawingml/2006/diagram" xmlns:r="http://schemas.openxmlformats.org/officeDocument/2006/relationships" r:dm="rIdD1" r:lo="rIdD2" r:qs="rIdD3" r:cs="rIdD4"/>
              </a:graphicData>
            </a:graphic>
          </wp:inline>
        </w:drawing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C1" Type="http://schemas.openxmlformats.org/officeDocument/2006/relationships/chart" Target="charts/chart1.xml"/><Relationship Id="rIdD1" Type="http://schemas.openxmlformats.org/officeDocument/2006/relationships/diagramData" Target="diagrams/data1.xml"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bodyPr/>
          <a:p>
            <a:r>
              <a:t>Revenue by quarter</a:t>
            </a:r>
          </a:p>
        </c:rich>
      </c:tx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11</c:v>
                </c:pt>
                <c:pt idx="2">
                  <c:v>15</c:v>
                </c:pt>
                <c:pt idx="3">
                  <c:v>18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12</c:v>
                </c:pt>
                <c:pt idx="1">
                  <c:v>14</c:v>
                </c:pt>
                <c:pt idx="2">
                  <c:v>19</c:v>
                </c:pt>
                <c:pt idx="3">
                  <c:v>23.5</c:v>
                </c:pt>
              </c:numCache>
            </c:numRef>
          </c:val>
        </c:ser>
      </c:barChart>
    </c:plotArea>
  </c:chart>
</c:chartSpace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/>
      <dgm:t>
        <a:bodyPr/>
        <a:p>
          <a:endParaRPr/>
        </a:p>
      </dgm:t>
    </dgm:pt>
    <dgm:pt modelId="1">
      <dgm:prSet/>
      <dgm:t>
        <a:bodyPr/>
        <a:p>
          <a:r>
            <a:t>Plan</a:t>
          </a:r>
        </a:p>
      </dgm:t>
    </dgm:pt>
    <dgm:pt modelId="2">
      <dgm:t>
        <a:bodyPr/>
        <a:p>
          <a:r>
            <a:t>Build</a:t>
          </a:r>
        </a:p>
      </dgm:t>
    </dgm:pt>
    <dgm:pt modelId="3" type="parTrans">
      <dgm:t>
        <a:p>
          <a:r>
            <a:t>ignored</a:t>
          </a:r>
        </a:p>
      </dgm:t>
    </dgm:pt>
    <dgm:pt modelId="4">
      <dgm:t>
        <a:bodyPr/>
        <a:p>
          <a:r>
            <a:t>Ship</a:t>
          </a:r>
        </a:p>
      </dgm:t>
    </dgm:pt>
  </dgm:ptLst>
</dgm:dataModel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