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id w:val="-1"/>
        <w:docPartObj>
          <w:docPartGallery w:val="Cover Pages"/>
          <w:docPartUnique/>
        </w:docPartObj>
      </w:sdtPr>
      <w:sdtContent>
        <w:p>
          <w:pPr>
            <w:pStyle w:val="Heading1"/>
          </w:pPr>
          <w:r>
            <w:t>Annual Report</w:t>
          </w:r>
        </w:p>
        <w:p/>
        <w:p>
          <w:r>
            <w:t>Prepared for the board.</w:t>
          </w:r>
        </w:p>
      </w:sdtContent>
    </w:sdt>
    <w:p>
      <w:r>
        <w:t>Customer:</w:t>
      </w:r>
    </w:p>
    <w:sdt>
      <w:sdtPr>
        <w:alias w:val="Customer"/>
        <w:tag w:val="customer"/>
        <w:id w:val="123"/>
        <w:showingPlcHdr/>
      </w:sdtPr>
      <w:sdtEndPr/>
      <w:sdtContent>
        <w:p>
          <w:r>
            <w:rPr>
              <w:rStyle w:val="PlaceholderText"/>
            </w:rPr>
            <w:t>Click here to enter text.</w:t>
          </w:r>
        </w:p>
      </w:sdtContent>
    </w:sdt>
    <w:sdt>
      <w:sdtPr>
        <w:alias w:val="Legal notice"/>
        <w:lock w:val="contentLocked"/>
      </w:sdtPr>
      <w:sdtContent>
        <w:p>
          <w:r>
            <w:t>Do not change this text.</w:t>
          </w:r>
        </w:p>
      </w:sdtContent>
    </w:sdt>
    <w:sdt>
      <w:sdtPr>
        <w:docPartObj>
          <w:docPartGallery w:val="Table of Contents"/>
        </w:docPartObj>
      </w:sdtPr>
      <w:sdtContent>
        <w:p>
          <w:r>
            <w:t>Contents</w:t>
          </w:r>
        </w:p>
      </w:sdtContent>
    </w:sdt>
    <w:p>
      <w:r>
        <w:t>Body text.</w:t>
      </w:r>
    </w:p>
    <w:p>
      <w:pPr>
        <w:pStyle w:val="Heading1"/>
        <w:bidi w:val="0"/>
        <w:spacing w:before="240" w:after="283"/>
        <w:rPr/>
      </w:pPr>
      <w:r>
        <w:rPr/>
        <w:t>Project budget</w:t>
      </w:r>
    </w:p>
    <w:p>
      <w:pPr>
        <w:pStyle w:val="BodyText"/>
        <w:bidi w:val="0"/>
        <w:rPr/>
      </w:pPr>
      <w:r>
        <w:rPr/>
        <w:t>The budget is split by work package and year.</w:t>
      </w:r>
    </w:p>
    <w:tbl>
      <w:tblPr>
        <w:tblW w:w="473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60"/>
        <w:gridCol w:w="766"/>
        <w:gridCol w:w="998"/>
        <w:gridCol w:w="766"/>
        <w:gridCol w:w="1043"/>
      </w:tblGrid>
      <w:tr>
        <w:trPr/>
        <w:tc>
          <w:tcPr>
            <w:tcW w:w="1160" w:type="dxa"/>
            <w:vMerge w:val="restart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Work package</w:t>
            </w:r>
          </w:p>
        </w:tc>
        <w:tc>
          <w:tcPr>
            <w:tcW w:w="1764" w:type="dxa"/>
            <w:gridSpan w:val="2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2026</w:t>
            </w:r>
          </w:p>
        </w:tc>
        <w:tc>
          <w:tcPr>
            <w:tcW w:w="1809" w:type="dxa"/>
            <w:gridSpan w:val="2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2027</w:t>
            </w:r>
          </w:p>
        </w:tc>
      </w:tr>
      <w:tr>
        <w:trPr/>
        <w:tc>
          <w:tcPr>
            <w:tcW w:w="1160" w:type="dxa"/>
            <w:vMerge w:val="continue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Staff</w:t>
            </w:r>
          </w:p>
        </w:tc>
        <w:tc>
          <w:tcPr>
            <w:tcW w:w="99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Material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Staff</w:t>
            </w:r>
          </w:p>
        </w:tc>
        <w:tc>
          <w:tcPr>
            <w:tcW w:w="10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Material</w:t>
            </w:r>
          </w:p>
        </w:tc>
      </w:tr>
      <w:tr>
        <w:trPr/>
        <w:tc>
          <w:tcPr>
            <w:tcW w:w="11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WP1 Data pipeline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40,000</w:t>
            </w:r>
          </w:p>
        </w:tc>
        <w:tc>
          <w:tcPr>
            <w:tcW w:w="99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5,000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20,000</w:t>
            </w:r>
          </w:p>
        </w:tc>
        <w:tc>
          <w:tcPr>
            <w:tcW w:w="10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2,000</w:t>
            </w:r>
          </w:p>
        </w:tc>
      </w:tr>
      <w:tr>
        <w:trPr/>
        <w:tc>
          <w:tcPr>
            <w:tcW w:w="1160" w:type="dxa"/>
            <w:vMerge w:val="restart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WP2 Evaluation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30,000</w:t>
            </w:r>
          </w:p>
        </w:tc>
        <w:tc>
          <w:tcPr>
            <w:tcW w:w="99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8,000</w:t>
            </w:r>
          </w:p>
        </w:tc>
        <w:tc>
          <w:tcPr>
            <w:tcW w:w="1809" w:type="dxa"/>
            <w:gridSpan w:val="2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to be decided</w:t>
            </w:r>
          </w:p>
        </w:tc>
      </w:tr>
      <w:tr>
        <w:trPr/>
        <w:tc>
          <w:tcPr>
            <w:tcW w:w="1160" w:type="dxa"/>
            <w:vMerge w:val="continue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12,000</w:t>
            </w:r>
          </w:p>
        </w:tc>
        <w:tc>
          <w:tcPr>
            <w:tcW w:w="998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1,000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15,000</w:t>
            </w:r>
          </w:p>
        </w:tc>
        <w:tc>
          <w:tcPr>
            <w:tcW w:w="104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1,500</w:t>
            </w:r>
          </w:p>
        </w:tc>
      </w:tr>
      <w:tr>
        <w:trPr/>
        <w:tc>
          <w:tcPr>
            <w:tcW w:w="116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Total</w:t>
            </w:r>
          </w:p>
        </w:tc>
        <w:tc>
          <w:tcPr>
            <w:tcW w:w="3573" w:type="dxa"/>
            <w:gridSpan w:val="4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131,500</w:t>
            </w:r>
          </w:p>
        </w:tc>
      </w:tr>
    </w:tbl>
    <w:p>
      <w:pPr>
        <w:pStyle w:val="BodyText"/>
        <w:bidi w:val="0"/>
        <w:spacing w:before="0" w:after="283"/>
        <w:rPr/>
      </w:pPr>
      <w:r>
        <w:rPr/>
        <w:t>All figures in euros.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