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74F"/>
          <w:sz w:val="40"/>
        </w:rPr>
        <w:t>TIM ZHANG</w:t>
      </w:r>
    </w:p>
    <w:p>
      <w:pPr>
        <w:spacing w:after="0"/>
        <w:jc w:val="center"/>
      </w:pPr>
      <w:r>
        <w:rPr>
          <w:color w:val="141413"/>
          <w:sz w:val="19"/>
        </w:rPr>
        <w:t>Data Engineer | AI-Driven Pipeline Architect | Data + AI Systems Builder</w:t>
      </w:r>
    </w:p>
    <w:p>
      <w:pPr>
        <w:spacing w:after="0"/>
        <w:jc w:val="center"/>
      </w:pPr>
      <w:r>
        <w:rPr>
          <w:color w:val="585854"/>
          <w:sz w:val="16"/>
        </w:rPr>
        <w:t>weijianlucky@gmail.com | HK: +852 84965467 | Mainland: +86 131 6809 0613</w:t>
      </w:r>
    </w:p>
    <w:p>
      <w:pPr>
        <w:spacing w:after="60"/>
        <w:jc w:val="center"/>
      </w:pPr>
      <w:r>
        <w:rPr>
          <w:color w:val="585854"/>
          <w:sz w:val="16"/>
        </w:rPr>
        <w:t xml:space="preserve">Portfolio: </w:t>
      </w:r>
      <w:hyperlink r:id="rId9">
        <w:r>
          <w:rPr>
            <w:color w:val="B45534"/>
            <w:u w:val="single"/>
            <w:sz w:val="16"/>
            <w:szCs w:val="16"/>
          </w:rPr>
          <w:t>portfolio.timzhang.cn</w:t>
        </w:r>
      </w:hyperlink>
      <w:r>
        <w:rPr>
          <w:color w:val="585854"/>
          <w:sz w:val="16"/>
        </w:rPr>
        <w:t xml:space="preserve"> | GitHub: </w:t>
      </w:r>
      <w:hyperlink r:id="rId10">
        <w:r>
          <w:rPr>
            <w:color w:val="B45534"/>
            <w:u w:val="single"/>
            <w:sz w:val="16"/>
            <w:szCs w:val="16"/>
          </w:rPr>
          <w:t>github.com/February13</w:t>
        </w:r>
      </w:hyperlink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PROFESSIONAL SUMMARY</w:t>
      </w:r>
    </w:p>
    <w:p>
      <w:pPr>
        <w:spacing w:after="40"/>
      </w:pPr>
      <w:r>
        <w:rPr>
          <w:sz w:val="17"/>
        </w:rPr>
        <w:t>Data Engineer and AI-driven pipeline architect with 8+ years of production data engineering experience across commercial banking, multinational retail, cloud data warehouses, GovTech automation, insurance FWA, and research AI. Delivered 10TB+ cloud migration, five-layer warehouse architecture, SOX-aware financial data workflows, StarRocks performance optimization, and production reporting pipelines before moving into Agentic RAG, Agent Runtime, GraphDB, and research AI systems. Recent flagship work includes the award-winning SRR Agentic Case Processing System, Uniflo software-hardware multi-end intelligent continuous delivery platform, MCC FWA insurance fraud graph intelligence system, and GaitGPT privacy-first gait research assistant.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TECHNICAL SKILLS</w:t>
      </w:r>
    </w:p>
    <w:p>
      <w:pPr>
        <w:spacing w:after="0"/>
      </w:pPr>
      <w:r>
        <w:rPr>
          <w:b/>
          <w:color w:val="141413"/>
          <w:sz w:val="16"/>
        </w:rPr>
        <w:t xml:space="preserve">Programming &amp; Data: </w:t>
      </w:r>
      <w:r>
        <w:rPr>
          <w:color w:val="141413"/>
          <w:sz w:val="16"/>
        </w:rPr>
        <w:t>Python, SQL, SparkSQL, Impala SQL, Bash/Shell, Java</w:t>
      </w:r>
    </w:p>
    <w:p>
      <w:pPr>
        <w:spacing w:after="0"/>
      </w:pPr>
      <w:r>
        <w:rPr>
          <w:b/>
          <w:color w:val="141413"/>
          <w:sz w:val="16"/>
        </w:rPr>
        <w:t xml:space="preserve">Data Engineering: </w:t>
      </w:r>
      <w:r>
        <w:rPr>
          <w:color w:val="141413"/>
          <w:sz w:val="16"/>
        </w:rPr>
        <w:t>Hadoop, Spark, Hive, StarRocks, Kafka, Seatunnel, DolphinScheduler, Informatica PowerCenter</w:t>
      </w:r>
    </w:p>
    <w:p>
      <w:pPr>
        <w:spacing w:after="0"/>
      </w:pPr>
      <w:r>
        <w:rPr>
          <w:b/>
          <w:color w:val="141413"/>
          <w:sz w:val="16"/>
        </w:rPr>
        <w:t xml:space="preserve">AI/LLM Systems: </w:t>
      </w:r>
      <w:r>
        <w:rPr>
          <w:color w:val="141413"/>
          <w:sz w:val="16"/>
        </w:rPr>
        <w:t>FastAPI, LangChain/LangGraph, RAG, Agentic workflows, Agent Runtime, multi-end delivery, workspace permissions, workflow trace, pgvector, GraphDB/Neo4j, OpenAI GPT-4o, Gemini, LLM-as-Judge</w:t>
      </w:r>
    </w:p>
    <w:p>
      <w:pPr>
        <w:spacing w:after="0"/>
      </w:pPr>
      <w:r>
        <w:rPr>
          <w:b/>
          <w:color w:val="141413"/>
          <w:sz w:val="16"/>
        </w:rPr>
        <w:t xml:space="preserve">Financial &amp; Retail Data: </w:t>
      </w:r>
      <w:r>
        <w:rPr>
          <w:color w:val="141413"/>
          <w:sz w:val="16"/>
        </w:rPr>
        <w:t>Commercial-bank credit/limit/lending models, retail PNL/B2B/HR/Leasing reporting, claims adjudication, SOX-aware data workflows</w:t>
      </w:r>
    </w:p>
    <w:p>
      <w:pPr>
        <w:spacing w:after="0"/>
      </w:pPr>
      <w:r>
        <w:rPr>
          <w:b/>
          <w:color w:val="141413"/>
          <w:sz w:val="16"/>
        </w:rPr>
        <w:t xml:space="preserve">Cloud &amp; DevOps: </w:t>
      </w:r>
      <w:r>
        <w:rPr>
          <w:color w:val="141413"/>
          <w:sz w:val="16"/>
        </w:rPr>
        <w:t>Google Cloud Run, Cloud SQL, Tencent Cloud, Docker, Linux, GitHub Actions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SELECTED AI &amp; DATA PROJECTS</w:t>
      </w:r>
    </w:p>
    <w:p>
      <w:pPr>
        <w:spacing w:before="40" w:after="0"/>
      </w:pPr>
      <w:r>
        <w:rPr>
          <w:b/>
          <w:color w:val="141413"/>
          <w:sz w:val="17"/>
        </w:rPr>
        <w:t>SRR Agentic Case Processing System</w:t>
      </w:r>
      <w:r>
        <w:rPr>
          <w:i/>
          <w:color w:val="585854"/>
          <w:sz w:val="16"/>
        </w:rPr>
        <w:t xml:space="preserve"> | Technical Lead | 99.4% contribution | Lingnan Cup 2nd Prize | Featured on TV | 2025-2026</w:t>
      </w:r>
    </w:p>
    <w:p>
      <w:pPr>
        <w:spacing w:after="0"/>
        <w:ind w:left="58"/>
      </w:pPr>
      <w:r>
        <w:rPr>
          <w:b/>
          <w:color w:val="B45534"/>
          <w:sz w:val="16"/>
        </w:rPr>
        <w:t xml:space="preserve">Project links: </w:t>
      </w:r>
      <w:hyperlink r:id="rId11">
        <w:r>
          <w:rPr>
            <w:color w:val="B45534"/>
            <w:u w:val="single"/>
            <w:sz w:val="16"/>
            <w:szCs w:val="16"/>
          </w:rPr>
          <w:t>Portfolio case study</w:t>
        </w:r>
      </w:hyperlink>
      <w:r>
        <w:rPr>
          <w:color w:val="585854"/>
          <w:sz w:val="16"/>
        </w:rPr>
        <w:t xml:space="preserve">  |  </w:t>
      </w:r>
      <w:hyperlink r:id="rId12">
        <w:r>
          <w:rPr>
            <w:color w:val="B45534"/>
            <w:u w:val="single"/>
            <w:sz w:val="16"/>
            <w:szCs w:val="16"/>
          </w:rPr>
          <w:t>Public showcase repo</w:t>
        </w:r>
      </w:hyperlink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Hong Kong SRR case handling relied on multi-channel materials, manual routing, historical lookup, and repeated A-Q field interpretation.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Designed a 7-layer agentic architecture with 17 atomic capabilities covering ICC 1823/TMO/RCC parsing, A-Q extraction, department routing, pgvector + RRF retrieval, reply drafting, evaluation, and rollback.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Delivered 12/12 requirements and 80,430 lines across internal iterations; converted the system into an award-winning case with TV coverage, public reference code, and patent-prep narrative.</w:t>
      </w:r>
    </w:p>
    <w:p>
      <w:pPr>
        <w:spacing w:after="20"/>
      </w:pPr>
      <w:r>
        <w:rPr>
          <w:b/>
          <w:sz w:val="16"/>
        </w:rPr>
        <w:t xml:space="preserve">Tech: </w:t>
      </w:r>
      <w:r>
        <w:rPr>
          <w:color w:val="585854"/>
          <w:sz w:val="16"/>
        </w:rPr>
        <w:t>Python, FastAPI, React/TypeScript, PostgreSQL 15 + pgvector, GPT-4o, Google Cloud Run, Cloud SQL, Docker</w:t>
      </w:r>
    </w:p>
    <w:p>
      <w:pPr>
        <w:spacing w:before="40" w:after="0"/>
      </w:pPr>
      <w:r>
        <w:rPr>
          <w:b/>
          <w:color w:val="141413"/>
          <w:sz w:val="17"/>
        </w:rPr>
        <w:t>Uniflo: Multi-End AI Continuous Delivery Platform</w:t>
      </w:r>
      <w:r>
        <w:rPr>
          <w:i/>
          <w:color w:val="585854"/>
          <w:sz w:val="16"/>
        </w:rPr>
        <w:t xml:space="preserve"> | Core Builder | Product &amp; Runtime Architecture | Software-hardware multi-end delivery | 2026</w:t>
      </w:r>
    </w:p>
    <w:p>
      <w:pPr>
        <w:spacing w:after="0"/>
        <w:ind w:left="58"/>
      </w:pPr>
      <w:r>
        <w:rPr>
          <w:b/>
          <w:color w:val="B45534"/>
          <w:sz w:val="16"/>
        </w:rPr>
        <w:t xml:space="preserve">Project links: </w:t>
      </w:r>
      <w:hyperlink r:id="rId13">
        <w:r>
          <w:rPr>
            <w:color w:val="B45534"/>
            <w:u w:val="single"/>
            <w:sz w:val="16"/>
            <w:szCs w:val="16"/>
          </w:rPr>
          <w:t>Portfolio case study</w:t>
        </w:r>
      </w:hyperlink>
      <w:r>
        <w:rPr>
          <w:color w:val="585854"/>
          <w:sz w:val="16"/>
        </w:rPr>
        <w:t xml:space="preserve">  |  </w:t>
      </w:r>
      <w:hyperlink r:id="rId14">
        <w:r>
          <w:rPr>
            <w:color w:val="B45534"/>
            <w:u w:val="single"/>
            <w:sz w:val="16"/>
            <w:szCs w:val="16"/>
          </w:rPr>
          <w:t>OpenUniflo repo</w:t>
        </w:r>
      </w:hyperlink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Fragmented files, meetings, chats, device-facing capture inputs, and tool calls need persistent context, safe access, and repeatable delivery across software and hardware-facing surfaces beyond one-off chat.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Built across the Python runtime, React Web UI, OpenAI-compatible API, skill system, workspace and capture-aware access boundaries, permission guards, trace events, and Application candidate lifecycle.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Turned UniFlo from product thesis into an evolving platform codebase and evidence-backed portfolio story, with patent-prep directions around FileKG, Vision-Link Discovery, multi-end capture, and traceable source-reference mechanisms.</w:t>
      </w:r>
    </w:p>
    <w:p>
      <w:pPr>
        <w:spacing w:after="20"/>
      </w:pPr>
      <w:r>
        <w:rPr>
          <w:b/>
          <w:sz w:val="16"/>
        </w:rPr>
        <w:t xml:space="preserve">Tech: </w:t>
      </w:r>
      <w:r>
        <w:rPr>
          <w:color w:val="585854"/>
          <w:sz w:val="16"/>
        </w:rPr>
        <w:t>Python, FastAPI/aiohttp, React/Vite, OpenAI-compatible API, multi-end workflow orchestration, workspace tools, skill runtime, trace store, permission policy</w:t>
      </w:r>
    </w:p>
    <w:p>
      <w:pPr>
        <w:spacing w:before="40" w:after="0"/>
      </w:pPr>
      <w:r>
        <w:rPr>
          <w:b/>
          <w:color w:val="141413"/>
          <w:sz w:val="17"/>
        </w:rPr>
        <w:t>MCC FWA: Insurance Claims Fraud Graph Intelligence System</w:t>
      </w:r>
      <w:r>
        <w:rPr>
          <w:i/>
          <w:color w:val="585854"/>
          <w:sz w:val="16"/>
        </w:rPr>
        <w:t xml:space="preserve"> | Core Developer | Enterprise collaboration | InsurTech / Healthcare AI | 2026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Insurance FWA review has sparse fraud labels and relationship-heavy risk signals across patients, providers, diagnoses, receipts, billing items, and amount patterns.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Converted 38,659 medical claim JSON files into a 1.61M-node / 2.57M-edge property graph, modeled major claim entities, and built portable CSV extraction, Neo4j path validation, and FastAPI async review support.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Shifted the review surface from opaque approve/reject labels to auditable evidence trails, risk reasons, related entities, policy checks, and claim-level explanations.</w:t>
      </w:r>
    </w:p>
    <w:p>
      <w:pPr>
        <w:spacing w:after="20"/>
      </w:pPr>
      <w:r>
        <w:rPr>
          <w:b/>
          <w:sz w:val="16"/>
        </w:rPr>
        <w:t xml:space="preserve">Tech: </w:t>
      </w:r>
      <w:r>
        <w:rPr>
          <w:color w:val="585854"/>
          <w:sz w:val="16"/>
        </w:rPr>
        <w:t>Python, FastAPI, JSON/CSV pipelines, Neo4j, Google Spanner Graph-ready design, LangChain/LangGraph, OpenRouter LLMs</w:t>
      </w:r>
    </w:p>
    <w:p>
      <w:pPr>
        <w:spacing w:before="40" w:after="0"/>
      </w:pPr>
      <w:r>
        <w:rPr>
          <w:b/>
          <w:color w:val="141413"/>
          <w:sz w:val="17"/>
        </w:rPr>
        <w:t>GaitGPT: Privacy-First Clinical Gait Research Assistant</w:t>
      </w:r>
      <w:r>
        <w:rPr>
          <w:i/>
          <w:color w:val="585854"/>
          <w:sz w:val="16"/>
        </w:rPr>
        <w:t xml:space="preserve"> | Architecture Lead | Manuscript in preparation | iCAN 2026 | University IP materials in process | 2026</w:t>
      </w:r>
    </w:p>
    <w:p>
      <w:pPr>
        <w:spacing w:after="0"/>
        <w:ind w:left="58"/>
      </w:pPr>
      <w:r>
        <w:rPr>
          <w:b/>
          <w:color w:val="B45534"/>
          <w:sz w:val="16"/>
        </w:rPr>
        <w:t xml:space="preserve">Project links: </w:t>
      </w:r>
      <w:hyperlink r:id="rId15">
        <w:r>
          <w:rPr>
            <w:color w:val="B45534"/>
            <w:u w:val="single"/>
            <w:sz w:val="16"/>
            <w:szCs w:val="16"/>
          </w:rPr>
          <w:t>Portfolio case study</w:t>
        </w:r>
      </w:hyperlink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Gait datasets produce dense sensor indicators, while clinicians reason in symptom terms such as limping, shuffling gait, and asymmetry.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Led system direction and architecture; implemented intent routing, rule-first CSV analysis, literature-enhanced explanation, structured Findings output, and biomechanics-aware validation.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Evaluated on a 20-question NONSD-Gait benchmark with 0.9223 overall accuracy and 10.07s median response time; prepared manuscript, iCAN 2026 package, and university IP materials while keeping patent-sensitive implementation details private.</w:t>
      </w:r>
    </w:p>
    <w:p>
      <w:pPr>
        <w:spacing w:after="20"/>
      </w:pPr>
      <w:r>
        <w:rPr>
          <w:b/>
          <w:sz w:val="16"/>
        </w:rPr>
        <w:t xml:space="preserve">Tech: </w:t>
      </w:r>
      <w:r>
        <w:rPr>
          <w:color w:val="585854"/>
          <w:sz w:val="16"/>
        </w:rPr>
        <w:t>Python, FastAPI, Next.js/React, SurrealDB, LangGraph, PubMed/Semantic Scholar APIs, Ollama/Qwen, OpenAI-compatible providers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ENTERPRISE DATA ENGINEERING EXPERIENCE</w:t>
      </w:r>
    </w:p>
    <w:p>
      <w:pPr>
        <w:spacing w:before="40" w:after="0"/>
      </w:pPr>
      <w:r>
        <w:rPr>
          <w:b/>
          <w:sz w:val="17"/>
        </w:rPr>
        <w:t>Data Engineer | Shenzhen RenruiHR Technology Co., Ltd.</w:t>
      </w:r>
      <w:r>
        <w:rPr>
          <w:color w:val="585854"/>
          <w:sz w:val="16"/>
        </w:rPr>
        <w:t xml:space="preserve"> | 09/2023 - 09/2025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Retail finance and operations reporting for a multinational enterprise covered PNL, B2B, HR, Leasing, order, contract, billing, inventory, gift-card, warehouse, and finance sources.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Migrated 10TB+ IDC warehouse workloads to Tencent Cloud, rebuilt ODS/DIM/DWD/DWS/ADS layers, supported B2B refined management, mapped data assets and lineage, and added T+0 data quality response plus production monitoring.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Improved the finance data foundation by 50%+; Seatunnel sync reached 99.95% consistency and cut failures by 70%; ORC/SparkSQL optimization reduced disk by 38%, improved query speed by 55%, cut ETL runtime by 87.5%, and StarRocks materialized-view / model optimization moved core analytical queries from 3-10 minutes to avg. 0.8s.</w:t>
      </w:r>
    </w:p>
    <w:p>
      <w:pPr>
        <w:spacing w:before="40" w:after="0"/>
      </w:pPr>
      <w:r>
        <w:rPr>
          <w:b/>
          <w:sz w:val="17"/>
        </w:rPr>
        <w:t>Data Engineer | Hangzhou Yatop Information Technology Co., Ltd.</w:t>
      </w:r>
      <w:r>
        <w:rPr>
          <w:color w:val="585854"/>
          <w:sz w:val="16"/>
        </w:rPr>
        <w:t xml:space="preserve"> | 04/2021 - 08/2023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A commercial-bank data middle-platform needed credit-domain maintenance, limit-system upgrade, core lending migration impact analysis, and reusable model layers across 100+ transaction systems.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Led credit-domain delivery, maintained warehouse domains, integrated sources with Informatica PowerCenter, delivered SIT/UAT reports, optimized 30+ issue points, landed 15 key limit models, and tuned Impala skew, scripts, and UDF repricing-date logic.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Improved cross-team model reuse by 50%, stabilized credit / limit / lending reporting, and supported bank-grade delivery through lineage, quality rules, controlled changes, and downstream marts.</w:t>
      </w:r>
    </w:p>
    <w:p>
      <w:pPr>
        <w:spacing w:before="40" w:after="0"/>
      </w:pPr>
      <w:r>
        <w:rPr>
          <w:b/>
          <w:sz w:val="17"/>
        </w:rPr>
        <w:t>Data Engineer | Shenzhen Owned Technology Co., Ltd. (Client: Commercial Bank)</w:t>
      </w:r>
      <w:r>
        <w:rPr>
          <w:color w:val="585854"/>
          <w:sz w:val="16"/>
        </w:rPr>
        <w:t xml:space="preserve"> | 02/2019 - 03/2021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Commercial-bank marts needed stable definitions for corporate credit, limits, loan contracts, core lending, loan accounts, loan receipts, disbursement, repayment, settlement accounts, and product-level reporting.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Action: Maintained warehouse model-layer SQL, translated mart requirements into traceable logic, and aligned source lineage, model changes, issue handling, and reporting definitions with banking stakeholders.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Result: Supported financial, regulatory, and management reporting with bank-grade delivery discipline: consistent definitions, controlled changes, traceable issue handling, and stable downstream outputs.</w:t>
      </w:r>
    </w:p>
    <w:p>
      <w:pPr>
        <w:spacing w:before="40" w:after="0"/>
      </w:pPr>
      <w:r>
        <w:rPr>
          <w:b/>
          <w:sz w:val="17"/>
        </w:rPr>
        <w:t>Engineer | Chengdu HQtimes Technology Co., Ltd.</w:t>
      </w:r>
      <w:r>
        <w:rPr>
          <w:color w:val="585854"/>
          <w:sz w:val="16"/>
        </w:rPr>
        <w:t xml:space="preserve"> | 07/2017 - 11/2018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Situation/Task: IBM application operations required fast issue response and repeatable support routines.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Action/Result: Troubleshot network/system issues and built Bash/Python automation scripts to reduce repetitive manual operations.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EDUCATION &amp; AIBA COURSEWORK</w:t>
      </w:r>
    </w:p>
    <w:p>
      <w:pPr>
        <w:spacing w:after="0"/>
      </w:pPr>
      <w:r>
        <w:rPr>
          <w:b/>
          <w:color w:val="141413"/>
          <w:sz w:val="16"/>
        </w:rPr>
        <w:t>MSc in Artificial Intelligence and Business Analytics</w:t>
      </w:r>
      <w:r>
        <w:rPr>
          <w:color w:val="141413"/>
          <w:sz w:val="16"/>
        </w:rPr>
        <w:t xml:space="preserve"> | Lingnan University, Hong Kong | 2025 - 2026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Relevant coursework: AI foundations, business data management, analytics programming, blockchain, healthcare analytics, data visualization, generative AI programming, and AI-based optimization.</w:t>
      </w:r>
    </w:p>
    <w:p>
      <w:pPr>
        <w:spacing w:after="0"/>
      </w:pPr>
      <w:r>
        <w:rPr>
          <w:b/>
          <w:color w:val="141413"/>
          <w:sz w:val="16"/>
        </w:rPr>
        <w:t>Bachelor of Management</w:t>
      </w:r>
      <w:r>
        <w:rPr>
          <w:color w:val="141413"/>
          <w:sz w:val="16"/>
        </w:rPr>
        <w:t xml:space="preserve"> | Shenzhen University, China | 2014 - 2017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LANGUAGES</w:t>
      </w:r>
    </w:p>
    <w:p>
      <w:pPr>
        <w:spacing w:after="0"/>
      </w:pPr>
      <w:r>
        <w:rPr>
          <w:b/>
          <w:color w:val="141413"/>
          <w:sz w:val="16"/>
        </w:rPr>
        <w:t xml:space="preserve">Languages: </w:t>
      </w:r>
      <w:r>
        <w:rPr>
          <w:color w:val="141413"/>
          <w:sz w:val="16"/>
        </w:rPr>
        <w:t>Cantonese (Native), Mandarin (Native), English (Professional Working Proficiency)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14141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74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74F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74F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.timzhang.cn/go.html" TargetMode="External"/><Relationship Id="rId10" Type="http://schemas.openxmlformats.org/officeDocument/2006/relationships/hyperlink" Target="https://github.com/February13" TargetMode="External"/><Relationship Id="rId11" Type="http://schemas.openxmlformats.org/officeDocument/2006/relationships/hyperlink" Target="https://tim-portfolio.github.io/tim-portfolio/#srr" TargetMode="External"/><Relationship Id="rId12" Type="http://schemas.openxmlformats.org/officeDocument/2006/relationships/hyperlink" Target="https://github.com/SRR-Project-Team/srr-agentic-case-processing" TargetMode="External"/><Relationship Id="rId13" Type="http://schemas.openxmlformats.org/officeDocument/2006/relationships/hyperlink" Target="https://tim-portfolio.github.io/tim-portfolio/#uniflo" TargetMode="External"/><Relationship Id="rId14" Type="http://schemas.openxmlformats.org/officeDocument/2006/relationships/hyperlink" Target="https://github.com/OpenUniflo/Uniflo" TargetMode="External"/><Relationship Id="rId15" Type="http://schemas.openxmlformats.org/officeDocument/2006/relationships/hyperlink" Target="https://tim-portfolio.github.io/tim-portfolio/#gai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