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B04BA1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3200</w:t>
      </w:r>
      <w:bookmarkEnd w:id="4"/>
      <w:r w:rsidR="006831C2">
        <w:t xml:space="preserve"> </w:t>
      </w:r>
      <w:bookmarkStart w:id="5" w:name="gemeente_bedrijf"/>
      <w:r>
        <w:t>Heverlee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B04BA1">
        <w:t>CA_0000003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B04BA1">
              <w:t>27/10/2012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B04BA1">
              <w:t>3/11/2012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B04BA1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B04BA1">
              <w:t>Leuven - parking Bodart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r w:rsidR="00B04BA1">
              <w:t xml:space="preserve">Luik, Luxemburg, 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B04BA1">
              <w:t>Villeneuve de Berg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B04BA1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B04BA1">
              <w:t>8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B04BA1">
              <w:t>08:00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B04BA1">
              <w:t>20:00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B04BA1">
              <w:rPr>
                <w:b/>
              </w:rPr>
              <w:t>4923,00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B04BA1">
        <w:t>inbegrepen: btw, baantaksen, parkingkosten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04BA1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2012-10-23T12:18:00Z</dcterms:created>
  <dcterms:modified xsi:type="dcterms:W3CDTF">2012-10-23T12:18:00Z</dcterms:modified>
</cp:coreProperties>
</file>