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Production-Realistic Evaluation of CGM Smoothing Algorithms in Open-Source Automated Insulin Delivery</w:t>
      </w:r>
    </w:p>
    <w:p>
      <w:pPr>
        <w:jc w:val="center"/>
      </w:pPr>
      <w:r>
        <w:rPr>
          <w:i/>
          <w:color w:val="555555"/>
        </w:rPr>
        <w:t>Cohort backtest of three smoothing algorithms used in oref0-derived AID systems, evaluated as the algorithms run in production: a sliding window applied to each new reading.</w:t>
      </w:r>
    </w:p>
    <w:p>
      <w:pPr>
        <w:jc w:val="center"/>
      </w:pPr>
      <w:r>
        <w:t>───────────────</w:t>
      </w:r>
    </w:p>
    <w:p>
      <w:pPr>
        <w:pStyle w:val="Heading1"/>
      </w:pPr>
      <w:r>
        <w:t>Abstract</w:t>
      </w:r>
    </w:p>
    <w:p>
      <w:r>
        <w:t>This paper evaluates three CGM smoothing algorithms used by open-source automated insulin delivery (AID) systems built on the oref0 algorithm: the AAPS three-point central-window average (</w:t>
      </w:r>
      <w:r>
        <w:rPr>
          <w:rFonts w:ascii="Menlo" w:hAnsi="Menlo"/>
          <w:sz w:val="20"/>
        </w:rPr>
        <w:t>AvgSmoothingPlugin</w:t>
      </w:r>
      <w:r>
        <w:t>), the AAPS dual-order exponential (</w:t>
      </w:r>
      <w:r>
        <w:rPr>
          <w:rFonts w:ascii="Menlo" w:hAnsi="Menlo"/>
          <w:sz w:val="20"/>
        </w:rPr>
        <w:t>ExponentialSmoothingPlugin</w:t>
      </w:r>
      <w:r>
        <w:t xml:space="preserve">, marketed in some forks as TSUNAMI), and an adaptive Unscented Kalman Filter with a Rauch–Tung–Striebel (RTS) backward sweep. We re-implemented each algorithm from the upstream Kotlin source, validated each Python port against the original Kotlin reference to bit-exactness (or sub-mg/dL tolerance for the floating-point UKF), and ran each smoother across a 19-user, 90-day cohort drawn from a research database of oref0-style closed-loop sessions. Critically, we evaluated each algorithm in </w:t>
      </w:r>
      <w:r>
        <w:rPr>
          <w:i/>
        </w:rPr>
        <w:t>online sliding-window mode</w:t>
      </w:r>
      <w:r>
        <w:t xml:space="preserve"> — at every chronological reading t, the smoother is asked the value the AID dose engine would actually see at decision time t — rather than as a single offline pass. This changes the picture qualitatively for AAPS Average, which never sets a smoothed value for the newest reading in any call: in production the dose engine reads the raw value, and the algorithm has zero leading-edge effect on the current reading. AAPS Exponential and the UKF do produce a smoothed leading-edge value. Across the cohort, AAPS Exponential reduced 5-minute high-frequency noise by a median of 16 % at the cost of a 1.7-minute phase shift; the UKF reduced noise by 18 % with a phase shift of 0.85 minutes and the lowest median hypoglycaemia-event amplitude attenuation of the three. The UKF dominates the noise/delay Pareto frontier and absorbed 38 % of raw outliers compared with 30 % for AAPS Exponential and 0 % for AAPS Average. We discuss what this means for AID design: a smoother that does not act on the current reading is operationally a no-op for the most safety-critical decision (treating now), whatever it does to the historical view of the curve.</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 xml:space="preserve">Production AAPS instantiates a fresh smoother on every loop tick (every five minutes) and feeds it a sliding window of the most recent N readings — N = 24 for AAPS Exponential, N = 36 (≈ 3 hours) for the UKF as configured in the development branches that compile this filter. The dose engine then reads the smoothed value the algorithm produces for the newest reading in that window and uses that as its "current glucose". A single offline call over the full series produces a different curve from the sliding-window evaluation that runs in production; the </w:t>
      </w:r>
      <w:r>
        <w:rPr>
          <w:i/>
        </w:rPr>
        <w:t>operationally relevant</w:t>
      </w:r>
      <w:r>
        <w:t xml:space="preserve"> output is the leading-edge value of each sliding-window call, not the offline pass.</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 "now" and "five minutes ago" reads </w:t>
      </w:r>
      <w:r>
        <w:rPr>
          <w:rFonts w:ascii="Menlo" w:hAnsi="Menlo"/>
          <w:sz w:val="20"/>
        </w:rPr>
        <w:t>raw(t) − smoothed(t − 1)</w:t>
      </w:r>
      <w:r>
        <w:t xml:space="preserve"> rather than </w:t>
      </w:r>
      <w:r>
        <w:rPr>
          <w:rFonts w:ascii="Menlo" w:hAnsi="Menlo"/>
          <w:sz w:val="20"/>
        </w:rPr>
        <w:t>raw(t) − raw(t − 1)</w:t>
      </w:r>
      <w:r>
        <w:t>. The rate delta into t is therefore modified even though the value at t itself is not — a single-reading spike at t − 1 that would otherwise distort the slope is dampened by the time the AID computes that slope at t.</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For each user we required at least 90 days of CGM data and a 5-minute grid density of ≥ 95 % of expected readings. We extracted the most recent 90 days per user (≈ 25 000 readings each)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480 000 reading-decisions.</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w:t>
      </w:r>
    </w:p>
    <w:p>
      <w:r>
        <w:rPr>
          <w:i/>
        </w:rPr>
        <w:t xml:space="preserve"> </w:t>
      </w:r>
      <w:r>
        <w:rPr>
          <w:i/>
        </w:rPr>
        <w:t>Cross-correlation lag</w:t>
      </w:r>
      <w:r>
        <w:t>* (</w:t>
      </w:r>
      <w:r>
        <w:rPr>
          <w:rFonts w:ascii="Menlo" w:hAnsi="Menlo"/>
          <w:sz w:val="20"/>
        </w:rPr>
        <w:t>xcorr_lag_min</w:t>
      </w:r>
      <w:r>
        <w:t>) — argmax of the cross-correlation between raw and smoothed series, in minutes; a positive value means the smoothed series lags the raw.</w:t>
      </w:r>
    </w:p>
    <w:p>
      <w:r>
        <w:rPr>
          <w:i/>
        </w:rPr>
        <w:t xml:space="preserve"> </w:t>
      </w:r>
      <w:r>
        <w:rPr>
          <w:i/>
        </w:rPr>
        <w:t>Step-response delay</w:t>
      </w:r>
      <w:r>
        <w:t>* (</w:t>
      </w:r>
      <w:r>
        <w:rPr>
          <w:rFonts w:ascii="Menlo" w:hAnsi="Menlo"/>
          <w:sz w:val="20"/>
        </w:rPr>
        <w:t>step_response_median_delay_min</w:t>
      </w:r>
      <w:r>
        <w:t>) — median delay between a ≥ 20 mg/dL change in the raw and the half-amplitude crossing in the smoothed.</w:t>
      </w:r>
    </w:p>
    <w:p>
      <w:r>
        <w:rPr>
          <w:i/>
        </w:rPr>
        <w:t xml:space="preserve"> </w:t>
      </w:r>
      <w:r>
        <w:rPr>
          <w:i/>
        </w:rPr>
        <w:t>Phase-shift delay</w:t>
      </w:r>
      <w:r>
        <w:t>* (</w:t>
      </w:r>
      <w:r>
        <w:rPr>
          <w:rFonts w:ascii="Menlo" w:hAnsi="Menlo"/>
          <w:sz w:val="20"/>
        </w:rPr>
        <w:t>phase_shift_delay_min</w:t>
      </w:r>
      <w:r>
        <w:t>) — phase of the smoother's transfer function at the dominant cycling frequency, expressed in minutes.</w:t>
      </w:r>
    </w:p>
    <w:p>
      <w:r>
        <w:rPr>
          <w:i/>
        </w:rPr>
        <w:t xml:space="preserve"> </w:t>
      </w:r>
      <w:r>
        <w:rPr>
          <w:i/>
        </w:rPr>
        <w:t>Noise reduction ratio</w:t>
      </w:r>
      <w:r>
        <w:t>* (</w:t>
      </w:r>
      <w:r>
        <w:rPr>
          <w:rFonts w:ascii="Menlo" w:hAnsi="Menlo"/>
          <w:sz w:val="20"/>
        </w:rPr>
        <w:t>noise_reduction_ratio</w:t>
      </w:r>
      <w:r>
        <w:t>) — ratio of high-frequency power in the smoothed to the raw (5–10 minute band).</w:t>
      </w:r>
    </w:p>
    <w:p>
      <w:r>
        <w:rPr>
          <w:i/>
        </w:rPr>
        <w:t xml:space="preserve"> </w:t>
      </w:r>
      <w:r>
        <w:rPr>
          <w:i/>
        </w:rPr>
        <w:t>Attenuation in the signal band</w:t>
      </w:r>
      <w:r>
        <w:t>* (</w:t>
      </w:r>
      <w:r>
        <w:rPr>
          <w:rFonts w:ascii="Menlo" w:hAnsi="Menlo"/>
          <w:sz w:val="20"/>
        </w:rPr>
        <w:t>attenuation_signal_band</w:t>
      </w:r>
      <w:r>
        <w:t>) — ratio of low-frequency power in the smoothed to the raw (≥ 30-minute band); ideally ≈ 1, meaning real glucose dynamics pass through.</w:t>
      </w:r>
    </w:p>
    <w:p>
      <w:r>
        <w:rPr>
          <w:i/>
        </w:rPr>
        <w:t xml:space="preserve"> </w:t>
      </w:r>
      <w:r>
        <w:rPr>
          <w:i/>
        </w:rPr>
        <w:t>Hypoglycaemia preservation</w:t>
      </w:r>
      <w:r>
        <w:t>* (</w:t>
      </w:r>
      <w:r>
        <w:rPr>
          <w:rFonts w:ascii="Menlo" w:hAnsi="Menlo"/>
          <w:sz w:val="20"/>
        </w:rPr>
        <w:t>hypo_preserved_pct</w:t>
      </w:r>
      <w:r>
        <w:t>) — percentage of independent &lt; 70 mg/dL events in the raw that remain ≤ 70 mg/dL in the smoothed.</w:t>
      </w:r>
    </w:p>
    <w:p>
      <w:r>
        <w:rPr>
          <w:i/>
        </w:rPr>
        <w:t xml:space="preserve"> </w:t>
      </w:r>
      <w:r>
        <w:rPr>
          <w:i/>
        </w:rPr>
        <w:t>Hypo amplitude delta</w:t>
      </w:r>
      <w:r>
        <w:t>* (</w:t>
      </w:r>
      <w:r>
        <w:rPr>
          <w:rFonts w:ascii="Menlo" w:hAnsi="Menlo"/>
          <w:sz w:val="20"/>
        </w:rPr>
        <w:t>hypo_amp_delta</w:t>
      </w:r>
      <w:r>
        <w:t>) — median (smoothed nadir − raw nadir) across hypo events.</w:t>
      </w:r>
    </w:p>
    <w:p>
      <w:r>
        <w:rPr>
          <w:i/>
        </w:rPr>
        <w:t xml:space="preserve"> </w:t>
      </w:r>
      <w:r>
        <w:rPr>
          <w:i/>
        </w:rPr>
        <w:t>Peak preservation</w:t>
      </w:r>
      <w:r>
        <w:t>* (</w:t>
      </w:r>
      <w:r>
        <w:rPr>
          <w:rFonts w:ascii="Menlo" w:hAnsi="Menlo"/>
          <w:sz w:val="20"/>
        </w:rPr>
        <w:t>peak_preserved_pct</w:t>
      </w:r>
      <w:r>
        <w:t>) — same as hypo, but for &gt; 220 mg/dL excursions.</w:t>
      </w:r>
    </w:p>
    <w:p>
      <w:r>
        <w:rPr>
          <w:i/>
        </w:rPr>
        <w:t xml:space="preserve"> </w:t>
      </w:r>
      <w:r>
        <w:rPr>
          <w:i/>
        </w:rPr>
        <w:t>Outlier absorption</w:t>
      </w:r>
      <w:r>
        <w:t>* (</w:t>
      </w:r>
      <w:r>
        <w:rPr>
          <w:rFonts w:ascii="Menlo" w:hAnsi="Menlo"/>
          <w:sz w:val="20"/>
        </w:rPr>
        <w:t>outlier_absorbed_pct</w:t>
      </w:r>
      <w:r>
        <w:t>) — percentage of single-reading raw spikes (&gt; 30 mg/dL deviation from a 25-min local median) that the smoother attenuates by ≥ 50 %.</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220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reduces to its raw-pass-through value: noise ratio 1.0, phase shift 0, no outlier absorption, 100 % hypo preservation. This is not a flaw in the algorithm; it is the consequence of the production design where the dose engine reads the raw value for the current reading and the smoother only retroactively smooths older readings. The smoother does affect rate-of-change calculations (because the AID may compute slope using smoothed t − 1 and raw t), but the current-reading value driving the next bolus or basal adjustment is never modified.</w:t>
      </w:r>
    </w:p>
    <w:p>
      <w:r>
        <w:rPr>
          <w:b/>
        </w:rPr>
        <w:t>AAPS Exponential is the most aggressive smoother.</w:t>
      </w:r>
      <w:r>
        <w:t xml:space="preserve"> It applies the largest noise reduction (16 % cohort median), but at a cost: 1.7-minute phase delay, 7 % of low-glucose events lost (the smoother lifts the nadir above 70 mg/dL or shifts the timing), and a 1.6-minute step-response lag.</w:t>
      </w:r>
    </w:p>
    <w:p>
      <w:r>
        <w:rPr>
          <w:b/>
        </w:rPr>
        <w:t>The UKF dominates the noise/delay frontier.</w:t>
      </w:r>
      <w:r>
        <w:t xml:space="preserve"> It achieves slightly more aggressive noise reduction (18 % cohort median) than AAPS Exponential at half the phase delay (0.85 min). Step-response delay is </w:t>
      </w:r>
      <w:r>
        <w:rPr>
          <w:i/>
        </w:rPr>
        <w:t>negative</w:t>
      </w:r>
      <w:r>
        <w:t xml:space="preserve"> (median −0.25 min), meaning the UKF's rate-of-change estimate predicts crossings of large changes slightly faster than they actually occur — a feature of the rate-state and the q-inflation that ramps the rate variance during sustained changes.</w:t>
      </w:r>
    </w:p>
    <w:p>
      <w:r>
        <w:t xml:space="preserve">The pairwise Wilcoxon tests reject the null of no median difference at Holm-corrected p &lt; 0.001 for every metric and every pair where the two smoothers differ on the metric (so AAPS Average is significantly different from both other smoothers on noise, phase, and outlier absorption; AAPS Exponential and UKF differ significantly on phase, hypo preservation, and outlier absorption).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left and below the AAPS Exponential cluster, indicating Pareto dominance on this trade-off. AAPS Average is collapsed to (1, 0) — the no-op corner.</w:t>
      </w:r>
    </w:p>
    <w:p>
      <w:r>
        <w:t>The figure makes the trade-off concrete. AAPS Exponential's points cluster at noise ratio 0.75 – 0.90 with phase delay −1.5 to −2.0 minutes; UKF's points cluster at noise ratio 0.74 – 0.87 with phase delay −0.7 to −1.0 minutes. The Pareto frontier is the UKF cluster — for any AAPS Exponential operating point, there exists a UKF user with at least as much noise reduction and a smaller phase delay.</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3.5</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2.3</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0.2 %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the AAPS Exponential the leading-edge filter applies a median |Δ| of 2.0 mg/dL and changes 86 % of readings.</w:t>
      </w:r>
    </w:p>
    <w:p>
      <w:pPr>
        <w:pStyle w:val="Heading2"/>
      </w:pPr>
      <w:r>
        <w:t>3.3.1 Event-aligned visual comparison</w:t>
      </w:r>
    </w:p>
    <w:p>
      <w:r>
        <w:t>To visualise smoother behaviour against real data, we event-aligned the cohort traces around two reference event types: low-variance "calm" 6-hour windows where the raw glucose stays within a narrow band, and "rate-rise" events where a sustained ≥ 0.5 mg/dL/min rise is observed.</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clustered users on their smoother-independent characteristics — coefficient of variation, time-in-range, mean rate-of-change, fraction of readings above 220 mg/dL — and computed silhouette scores for k = 2 and k = 3. The k = 2 silhouette is 0.30, below the 0.4 threshold normally used to declare meaningful structure. This means we found no clear phenotypic split (e.g., "high CV users get more benefit from UKF"); the smoother ranking is consistent across user types and the per-metric distributions are similar within each cluster. We therefore do not recommend a regime-dependent smoother choice.</w:t>
      </w:r>
    </w:p>
    <w:p>
      <w:pPr>
        <w:pStyle w:val="Heading2"/>
      </w:pPr>
      <w:r>
        <w:t>3.5 SID (Sensor Integrity Detection) re-detection</w:t>
      </w:r>
    </w:p>
    <w:p>
      <w:r>
        <w:t>The Sensor Integrity Detection (SID) v6 logic looks for sustained glucose-deviation events that suggest a sensor problem (compression, calibration drift). We 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dominates on this metric, the UKF lies between, AAPS Average is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The correlations between SID-event count and clinical-outcome metrics (time-below-70, hypo episode count, MAGE, LBGI) are individually small (|r| &lt; 0.3) and inconsistent across smoothers. We interpret this conservatively: the smoother choice changes how often the SID layer fires, but no smoother shows a clinically actionable association with any outcome metric in this 19-user cohort.</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We are arguing that any cohort comparison of these algorithms that runs them as offline batch passes will report misleadingly large effects for AAPS Average — every interior reading appears smoothed, including the current — when in practice the algorithm's online effect on the current-reading is zero.</w:t>
      </w:r>
    </w:p>
    <w:p>
      <w:pPr>
        <w:pStyle w:val="Heading2"/>
      </w:pPr>
      <w:r>
        <w:t>4.2 The UKF Pareto position</w:t>
      </w:r>
    </w:p>
    <w:p>
      <w:r>
        <w:t>For every operating point AAPS Exponential reaches, there exists a UKF parameterisation with similar or better noise reduction at smaller phase delay. This is consistent with the UKF being a more sophisticated estimator that uses both the measurement and a model of glucose dynamics; the trade-off the UKF accepts is computational cost (roughly 250 × more wall-clock per reading than AAPS Exponential in our Python implementation, though absolute cost is still negligible — &lt; 100 µs per reading on a modern CPU) and substantially more parameter complexity (covariance bounds, χ² thresholds, R-adaptation rates). The development-branch UKF parameterisation we used has been tuned by the AAPS development team against a separate dataset; whether the UKF would still dominate after a re-tune for our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36 % reduction in SID events the UKF produces would translate to fewer (or more) clinical hypo/hyper events under closed-loop control.</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In a production-realistic online sliding-window evaluation across 19 users and 90 days each, the three CGM smoothers used by oref0-derived AID systems behave very differently. AAPS Average is a no-op for the current reading at decision time and exists primarily to clean the historical view of the curve. AAPS Exponential reduces noise by 16 % at a cost of a 1.7-minute phase shift and a 7-percentage-point loss of hypo events. The adaptive UKF achieves slightly more aggressive noise reduction (18 %) at half the phase shift (0.85 min) and the lowest cost in hypo-event preservation (3.4 percentage points lost); it dominates the AAPS Exponential operating range on the noise/delay Pareto frontier. The UKF's RTS backward smoother contributes effectively nothing to the current-reading value (RTS does not modify the leading edge by construction); its cost-vs-benefit lies in cleaning the historical curve, not in the current-reading dose. The choice of smoother for an AID design is therefore a choice about how much delay to accept on the current reading in exchange for fewer single-reading dose perturbations; in this cohort the UKF offers the best operating point on that trade-off.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