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Is the Adaptive UKF Worth Adding to AAPS and Trio? A Production-Realistic Cohort Evaluation</w:t>
      </w:r>
    </w:p>
    <w:p>
      <w:pPr>
        <w:jc w:val="center"/>
      </w:pPr>
      <w:r>
        <w:rPr>
          <w:i/>
          <w:color w:val="555555"/>
        </w:rPr>
        <w:t>Signal-level evaluation of three CGM smoothing algorithms in oref0-derived AID systems, run as production calls them — a fresh sliding-window calculation at every loop tick — asking whether the UKF's characteristics justify shipping it as an alternative to AAPS Exponential.</w:t>
      </w:r>
    </w:p>
    <w:p>
      <w:pPr>
        <w:jc w:val="center"/>
      </w:pPr>
      <w:r>
        <w:t>───────────────</w:t>
      </w:r>
    </w:p>
    <w:p>
      <w:pPr>
        <w:pStyle w:val="Heading1"/>
      </w:pPr>
      <w:r>
        <w:t>Abstract</w:t>
      </w:r>
    </w:p>
    <w:p>
      <w:r>
        <w:t>The Adaptive Unscented Kalman Filter (UKF) with Rauch–Tung–Striebel (RTS) backward sweep is currently in an AAPS development branch and has not shipped in a stable AAPS or Trio release. This paper asks whether the signal-level evidence supports adding it. We re-implemented the UKF alongside the two production smoothers — the AAPS three-point central-window average (</w:t>
      </w:r>
      <w:r>
        <w:rPr>
          <w:rFonts w:ascii="Menlo" w:hAnsi="Menlo"/>
          <w:sz w:val="20"/>
        </w:rPr>
        <w:t>AvgSmoothingPlugin</w:t>
      </w:r>
      <w:r>
        <w:t>) and the AAPS dual-order exponential (</w:t>
      </w:r>
      <w:r>
        <w:rPr>
          <w:rFonts w:ascii="Menlo" w:hAnsi="Menlo"/>
          <w:sz w:val="20"/>
        </w:rPr>
        <w:t>ExponentialSmoothingPlugin</w:t>
      </w:r>
      <w:r>
        <w:t xml:space="preserve">, TSUNAMI) — validated each Python port against the upstream Kotlin source to bit-exactness or sub-mg/dL tolerance, and ran all three across a 19-user, 90-day cohort in </w:t>
      </w:r>
      <w:r>
        <w:rPr>
          <w:i/>
        </w:rPr>
        <w:t>online sliding-window mode</w:t>
      </w:r>
      <w:r>
        <w:t>: at every chronological reading t the smoother is asked the value the AID dose engine would see at decision time t.</w:t>
      </w:r>
    </w:p>
    <w:p>
      <w:r>
        <w:t>On every metric where AAPS Exponential improves on raw, the UKF improves further. It reduces step-to-step noise by 18% (versus 16% for AAPS Exponential) with a phase delay of 0.85 minutes (versus 1.7 minutes — roughly half the lag). It preserves 96.6% of raw low-glucose events at the leading edge versus 92.9% for AAPS Exponential, absorbs 38% of large single-reading outliers versus 30%, and on a per-user paired comparison achieves at least as much noise reduction at smaller phase delay for 14 of 19 users. Neither adaptive smoother dampens real multi-hour glucose dynamics. The one metric where AAPS Exponential outperforms the UKF is sensor-integrity alert count (1 259 versus 2 416), a consequence of AAPS Exponential's larger lag making the smoothed trace less sensitive to genuine glucose excursions — whether this represents fewer false alarms or more missed real sensor problems cannot be determined without ground-truth labels.</w:t>
      </w:r>
    </w:p>
    <w:p>
      <w:r>
        <w:t>AAPS Average produces a smoothed leading-edge value for neither the current reading nor recent readings in time for the current dose decision; the dose engine reads raw at decision time. Its role is in cleaning the historical curve and damping the slope calculation.</w:t>
      </w:r>
    </w:p>
    <w:p>
      <w:r>
        <w:t>Subject to the caveat that no clinical outcome data is available and the UKF parameter set is not yet finalised, the signal-level evidence supports shipping the UKF as a user-selectable alternative to AAPS Exponential in AAPS and Trio. The appropriate next step is to run the full oref0 dose engine downstream of each smoother and compare the resulting insulin delivery decisions.</w:t>
      </w:r>
    </w:p>
    <w:p>
      <w:pPr>
        <w:jc w:val="center"/>
      </w:pPr>
      <w:r>
        <w:t>───────────────</w:t>
      </w:r>
    </w:p>
    <w:p>
      <w:pPr>
        <w:pStyle w:val="Heading1"/>
      </w:pPr>
      <w:r>
        <w:t>1. Introduction</w:t>
      </w:r>
    </w:p>
    <w:p>
      <w:r>
        <w:t>The oref0 algorithm and its derivatives — AndroidAPS (AAPS), Trio, Loop — make insulin dosing decisions every five minutes from continuous glucose monitor (CGM) readings. Because CGM transmission noise, sensor compression, and Dexcom transmitter quantisation can produce single-reading deviations of 5–30 mg/dL even on a well-behaved sensor, every production AID system filters the raw stream before feeding it to the dose-calculation core. Three smoothing approaches dominate the open-source ecosystem:</w:t>
      </w:r>
    </w:p>
    <w:p>
      <w:r>
        <w:rPr>
          <w:i/>
        </w:rPr>
        <w:t xml:space="preserve"> </w:t>
      </w:r>
      <w:r>
        <w:rPr>
          <w:i/>
        </w:rPr>
        <w:t>AAPS Average</w:t>
      </w:r>
      <w:r>
        <w:t>* — a simple three-point central-window mean, gated by in-range checks (39–401 mg/dL) and timing checks (samples ≤ 30 s off the regular five-minute spacing).</w:t>
      </w:r>
    </w:p>
    <w:p>
      <w:r>
        <w:rPr>
          <w:i/>
        </w:rPr>
        <w:t xml:space="preserve"> </w:t>
      </w:r>
      <w:r>
        <w:rPr>
          <w:i/>
        </w:rPr>
        <w:t>AAPS Exponential / TSUNAMI</w:t>
      </w:r>
      <w:r>
        <w:t>* — a dual-order exponential blend, with a first-order EMA (α = 0.5) blended at weight 0.4 with a second-order trended EMA (α = 0.4, β = 1.0) over a 24-reading (≈ 2-hour) window.</w:t>
      </w:r>
    </w:p>
    <w:p>
      <w:r>
        <w:rPr>
          <w:i/>
        </w:rPr>
        <w:t xml:space="preserve"> </w:t>
      </w:r>
      <w:r>
        <w:rPr>
          <w:i/>
        </w:rPr>
        <w:t>Adaptive UKF</w:t>
      </w:r>
      <w:r>
        <w:t>* — a 2-state (glucose, rate-of-change) Unscented Kalman Filter with a Merwe-scaled sigma-point parameterisation, an adaptive measurement-noise term that shrinks during calm periods and expands when innovations grow, χ²-based outlier rejection at threshold 15.13, and an RTS backward smoother.</w:t>
      </w:r>
    </w:p>
    <w:p>
      <w:r>
        <w:t>Production AAPS instantiates a fresh smoother on every loop tick (every five minutes). AAPS Average is fed the trailing reading history and acts on a three-point window centred on each interior position; AAPS Exponential is fed the trailing 24 readings and runs its dual-EMA across them; the UKF window in the development branch is configurable in the 24–48 reading range (≈ 2–4 hours), and we used 36 readings here. The dose engine then reads the smoothed value the algorithm produces for the newest reading in that window and uses that as its "current glucose". The operationally relevant output is therefore the leading-edge value of each sliding-window call.</w:t>
      </w:r>
    </w:p>
    <w:p>
      <w:r>
        <w:t>This distinction matters most for AAPS Average. The Kotlin source (</w:t>
      </w:r>
      <w:r>
        <w:rPr>
          <w:rFonts w:ascii="Menlo" w:hAnsi="Menlo"/>
          <w:sz w:val="20"/>
        </w:rPr>
        <w:t>AvgSmoothingPlugin.smooth</w:t>
      </w:r>
      <w:r>
        <w:t xml:space="preserve">) iterates </w:t>
      </w:r>
      <w:r>
        <w:rPr>
          <w:rFonts w:ascii="Menlo" w:hAnsi="Menlo"/>
          <w:sz w:val="20"/>
        </w:rPr>
        <w:t>for (i in 1 until data.size - 1)</w:t>
      </w:r>
      <w:r>
        <w:t xml:space="preserve"> and writes </w:t>
      </w:r>
      <w:r>
        <w:rPr>
          <w:rFonts w:ascii="Menlo" w:hAnsi="Menlo"/>
          <w:sz w:val="20"/>
        </w:rPr>
        <w:t>data[i].smoothed</w:t>
      </w:r>
      <w:r>
        <w:t xml:space="preserve"> only for interior positions, leaving </w:t>
      </w:r>
      <w:r>
        <w:rPr>
          <w:rFonts w:ascii="Menlo" w:hAnsi="Menlo"/>
          <w:sz w:val="20"/>
        </w:rPr>
        <w:t>data[0].smoothed</w:t>
      </w:r>
      <w:r>
        <w:t xml:space="preserve"> (the newest reading in newest-first AAPS list convention) unset. The dose engine reads </w:t>
      </w:r>
      <w:r>
        <w:rPr>
          <w:rFonts w:ascii="Menlo" w:hAnsi="Menlo"/>
          <w:sz w:val="20"/>
        </w:rPr>
        <w:t>data[0].smoothed</w:t>
      </w:r>
      <w:r>
        <w:t xml:space="preserve"> and falls back to </w:t>
      </w:r>
      <w:r>
        <w:rPr>
          <w:rFonts w:ascii="Menlo" w:hAnsi="Menlo"/>
          <w:sz w:val="20"/>
        </w:rPr>
        <w:t>data[0].value</w:t>
      </w:r>
      <w:r>
        <w:t xml:space="preserve"> (the raw input) when no smoothed value is set. So at decision time t the AID using AAPS Average sees the raw glucose t — the value at t is unchanged. The algorithm does, however, write a smoothed value to t − 1 once t arrives (the three-point average uses t, t − 1 and t − 2), which means the rate-of-change calculation between "now" and "five minutes ago" reads </w:t>
      </w:r>
      <w:r>
        <w:rPr>
          <w:rFonts w:ascii="Menlo" w:hAnsi="Menlo"/>
          <w:sz w:val="20"/>
        </w:rPr>
        <w:t>raw(t) − smoothed(t − 1)</w:t>
      </w:r>
      <w:r>
        <w:t xml:space="preserve"> rather than </w:t>
      </w:r>
      <w:r>
        <w:rPr>
          <w:rFonts w:ascii="Menlo" w:hAnsi="Menlo"/>
          <w:sz w:val="20"/>
        </w:rPr>
        <w:t>raw(t) − raw(t − 1)</w:t>
      </w:r>
      <w:r>
        <w:t>. The rate delta into t is therefore modified even though the value at t itself is not — a single-reading spike at t − 1 that would otherwise distort the slope is dampened by the time the AID computes that slope at t.</w:t>
      </w:r>
    </w:p>
    <w:p>
      <w:r>
        <w:t>We also re-evaluated the UKF in this online mode. Although the RTS backward sweep is the algorithm's most distinctive component, RTS by construction does not modify the leading edge: it propagates information from the newest to older states in a backward pass, leaving the newest state at its forward-filter value. The UKF's leading-edge output therefore equals its forward-filter output; the RTS revisions affect the historical view of the curve but not the current reading.</w:t>
      </w:r>
    </w:p>
    <w:p>
      <w:r>
        <w:t>This paper reports the cohort-wide statistics of each smoother under the production-realistic online evaluation.</w:t>
      </w:r>
    </w:p>
    <w:p>
      <w:pPr>
        <w:pStyle w:val="Heading1"/>
      </w:pPr>
      <w:r>
        <w:t>2. Methods</w:t>
      </w:r>
    </w:p>
    <w:p>
      <w:pPr>
        <w:pStyle w:val="Heading2"/>
      </w:pPr>
      <w:r>
        <w:t>2.1 Reference implementations and parity testing</w:t>
      </w:r>
    </w:p>
    <w:p>
      <w:r>
        <w:t>We obtained the upstream AAPS Kotlin source (</w:t>
      </w:r>
      <w:r>
        <w:rPr>
          <w:rFonts w:ascii="Menlo" w:hAnsi="Menlo"/>
          <w:sz w:val="20"/>
        </w:rPr>
        <w:t>AvgSmoothingPlugin.kt</w:t>
      </w:r>
      <w:r>
        <w:t xml:space="preserve">, </w:t>
      </w:r>
      <w:r>
        <w:rPr>
          <w:rFonts w:ascii="Menlo" w:hAnsi="Menlo"/>
          <w:sz w:val="20"/>
        </w:rPr>
        <w:t>ExponentialSmoothingPlugin.kt</w:t>
      </w:r>
      <w:r>
        <w:t>) and a development branch implementation of the adaptive UKF (</w:t>
      </w:r>
      <w:r>
        <w:rPr>
          <w:rFonts w:ascii="Menlo" w:hAnsi="Menlo"/>
          <w:sz w:val="20"/>
        </w:rPr>
        <w:t>UnscentedKalmanFilterPlugin.kt</w:t>
      </w:r>
      <w:r>
        <w:t>) and vendored a verbatim copy in this repository for reference. We then built a standalone Kotlin driver that runs each algorithm in two modes — a single batch call over the full input array, and a sliding-window online emulation in which a fresh instance of the smoother is created at each chronological t and called with the trailing W readings (W = 3 for AAPS Average's natural three-point window, W = 24 for AAPS Exponential, W = 36 for the UKF). The driver writes per-fixture JSON reference outputs for both modes.</w:t>
      </w:r>
    </w:p>
    <w:p>
      <w:r>
        <w:t>We then ported each algorithm to Python and validated it against the Kotlin reference on three fixtures: a synthetic step input, a sinusoid, and a 24-hour real-data slice from the cohort. Tolerances:</w:t>
      </w:r>
    </w:p>
    <w:p>
      <w:r>
        <w:t>* AAPS Average — bit-exact (max |Δ| = 0.0 mg/dL), in both batch and online modes.</w:t>
      </w:r>
    </w:p>
    <w:p>
      <w:r>
        <w:t xml:space="preserve">* AAPS Exponential — bit-exact in online sliding-window mode (max |Δ| = 0.0 mg/dL); the algorithm applies </w:t>
      </w:r>
      <w:r>
        <w:rPr>
          <w:rFonts w:ascii="Menlo" w:hAnsi="Menlo"/>
          <w:sz w:val="20"/>
        </w:rPr>
        <w:t>max(round(...), 39.0)</w:t>
      </w:r>
      <w:r>
        <w:t xml:space="preserve"> as a final step, which makes integer parity achievable across language boundaries.</w:t>
      </w:r>
    </w:p>
    <w:p>
      <w:r>
        <w:t>* UKF — within 0.5 mg/dL absolute on output and 1e-3 on covariance entries; the gap arises from floating-point order-of-summation differences in the sigma-point math.</w:t>
      </w:r>
    </w:p>
    <w:p>
      <w:r>
        <w:t>All 15 parity tests pass before any cohort run.</w:t>
      </w:r>
    </w:p>
    <w:p>
      <w:pPr>
        <w:pStyle w:val="Heading2"/>
      </w:pPr>
      <w:r>
        <w:t>2.2 Cohort selection</w:t>
      </w:r>
    </w:p>
    <w:p>
      <w:r>
        <w:t>The cohort consists of 19 users selected from a research database of oref0-style closed-loop sessions. Three source tables (</w:t>
      </w:r>
      <w:r>
        <w:rPr>
          <w:rFonts w:ascii="Menlo" w:hAnsi="Menlo"/>
          <w:sz w:val="20"/>
        </w:rPr>
        <w:t>oref_v5</w:t>
      </w:r>
      <w:r>
        <w:t xml:space="preserve">, </w:t>
      </w:r>
      <w:r>
        <w:rPr>
          <w:rFonts w:ascii="Menlo" w:hAnsi="Menlo"/>
          <w:sz w:val="20"/>
        </w:rPr>
        <w:t>oref_v6</w:t>
      </w:r>
      <w:r>
        <w:t xml:space="preserve">, </w:t>
      </w:r>
      <w:r>
        <w:rPr>
          <w:rFonts w:ascii="Menlo" w:hAnsi="Menlo"/>
          <w:sz w:val="20"/>
        </w:rPr>
        <w:t>oref_v7</w:t>
      </w:r>
      <w:r>
        <w:t>) correspond to different oref0 release lines. The cohort selector requires at least 90 days of CGM data and a 5-minute grid density of ≥ 95 % of expected readings. We extracted up to the most recent 90 days per user (median 21 033 present readings per user, range 2 733 – 25 312) and resampled onto a strict 5-minute grid using the in-repo loader (</w:t>
      </w:r>
      <w:r>
        <w:rPr>
          <w:rFonts w:ascii="Menlo" w:hAnsi="Menlo"/>
          <w:sz w:val="20"/>
        </w:rPr>
        <w:t>backtest.io.load_user</w:t>
      </w:r>
      <w:r>
        <w:t>).</w:t>
      </w:r>
    </w:p>
    <w:p>
      <w:pPr>
        <w:pStyle w:val="Heading2"/>
      </w:pPr>
      <w:r>
        <w:t>2.3 Online sliding-window evaluation</w:t>
      </w:r>
    </w:p>
    <w:p>
      <w:r>
        <w:t>For every (user, algorithm) pair, we ran the smoother in online mode: at each chronological index t we instantiated a fresh smoother, fed it the trailing W readings, and recorded the leading-edge smoothed value as the smoother's output at t. Per-step trace columns (input glucose, output glucose, plus filter-internal quantities for the UKF) were written to Parquet. Across the cohort this produced 57 trace files (19 users × 3 algorithms) totalling ≈ 370 000 reading-decisions per algorithm (≈ 1.1 million in aggregate).</w:t>
      </w:r>
    </w:p>
    <w:p>
      <w:pPr>
        <w:pStyle w:val="Heading2"/>
      </w:pPr>
      <w:r>
        <w:t>2.4 Per-user metrics</w:t>
      </w:r>
    </w:p>
    <w:p>
      <w:r>
        <w:t xml:space="preserve">For each (user, algorithm) trace we computed the following metrics, producing one row per pair in </w:t>
      </w:r>
      <w:r>
        <w:rPr>
          <w:rFonts w:ascii="Menlo" w:hAnsi="Menlo"/>
          <w:sz w:val="20"/>
        </w:rPr>
        <w:t>reports/per_user_metrics.csv</w:t>
      </w:r>
      <w:r>
        <w:t xml:space="preserve">. Exact definitions are in </w:t>
      </w:r>
      <w:r>
        <w:rPr>
          <w:rFonts w:ascii="Menlo" w:hAnsi="Menlo"/>
          <w:sz w:val="20"/>
        </w:rPr>
        <w:t>backtest/metrics.py</w:t>
      </w:r>
      <w:r>
        <w:t>.</w:t>
      </w:r>
    </w:p>
    <w:p>
      <w:r>
        <w:rPr>
          <w:i/>
        </w:rPr>
        <w:t xml:space="preserve"> </w:t>
      </w:r>
      <w:r>
        <w:rPr>
          <w:i/>
        </w:rPr>
        <w:t>Cross-correlation lag</w:t>
      </w:r>
      <w:r>
        <w:t>* (</w:t>
      </w:r>
      <w:r>
        <w:rPr>
          <w:rFonts w:ascii="Menlo" w:hAnsi="Menlo"/>
          <w:sz w:val="20"/>
        </w:rPr>
        <w:t>xcorr_lag_min</w:t>
      </w:r>
      <w:r>
        <w:t>) — argmax of the cross-correlation between raw and smoothed (with sub-sample parabolic interpolation around the peak), in minutes; a positive value means the smoothed series lags the raw. Search bounded to ± 60 min.</w:t>
      </w:r>
    </w:p>
    <w:p>
      <w:r>
        <w:rPr>
          <w:i/>
        </w:rPr>
        <w:t xml:space="preserve"> </w:t>
      </w:r>
      <w:r>
        <w:rPr>
          <w:i/>
        </w:rPr>
        <w:t>Step-response delay</w:t>
      </w:r>
      <w:r>
        <w:t>* (</w:t>
      </w:r>
      <w:r>
        <w:rPr>
          <w:rFonts w:ascii="Menlo" w:hAnsi="Menlo"/>
          <w:sz w:val="20"/>
        </w:rPr>
        <w:t>step_response_median_delay_min</w:t>
      </w:r>
      <w:r>
        <w:t>) — median time between (a) the raw rate of change first crossing 0.5 mg/dL/min at the start of a sustained event whose total amplitude reaches ≥ 15 mg/dL, and (b) the smoothed rate of change crossing the same threshold scaled by 0.7 (= 0.35 mg/dL/min). The 0.7 factor is applied because smoothing dampens the rate; a strict same-threshold crossing under-counts smoother responses. A negative delay means the smoothed crosses 0.35 mg/dL/min before the raw crosses 0.5 mg/dL/min.</w:t>
      </w:r>
    </w:p>
    <w:p>
      <w:r>
        <w:rPr>
          <w:i/>
        </w:rPr>
        <w:t xml:space="preserve"> </w:t>
      </w:r>
      <w:r>
        <w:rPr>
          <w:i/>
        </w:rPr>
        <w:t>Phase-shift delay</w:t>
      </w:r>
      <w:r>
        <w:t>* (</w:t>
      </w:r>
      <w:r>
        <w:rPr>
          <w:rFonts w:ascii="Menlo" w:hAnsi="Menlo"/>
          <w:sz w:val="20"/>
        </w:rPr>
        <w:t>phase_shift_delay_min</w:t>
      </w:r>
      <w:r>
        <w:t>) — median Hilbert-phase difference between band-pass-filtered (1–6 hour cycle) raw and smoothed series, scaled at the band centre frequency (3-hour cycle) and expressed in minutes.</w:t>
      </w:r>
    </w:p>
    <w:p>
      <w:r>
        <w:rPr>
          <w:i/>
        </w:rPr>
        <w:t xml:space="preserve"> </w:t>
      </w:r>
      <w:r>
        <w:rPr>
          <w:i/>
        </w:rPr>
        <w:t>Noise reduction ratio</w:t>
      </w:r>
      <w:r>
        <w:t>* (</w:t>
      </w:r>
      <w:r>
        <w:rPr>
          <w:rFonts w:ascii="Menlo" w:hAnsi="Menlo"/>
          <w:sz w:val="20"/>
        </w:rPr>
        <w:t>noise_reduction_ratio</w:t>
      </w:r>
      <w:r>
        <w:t xml:space="preserve">) — variance ratio of the first differences of the two series: </w:t>
      </w:r>
      <w:r>
        <w:rPr>
          <w:rFonts w:ascii="Menlo" w:hAnsi="Menlo"/>
          <w:sz w:val="20"/>
        </w:rPr>
        <w:t>var(diff(smoothed)) / var(diff(raw))</w:t>
      </w:r>
      <w:r>
        <w:t>. First-difference variance is dominated by 5-minute step-to-step changes, which are the high-frequency content. A ratio &lt; 1 means the smoother reduces step-to-step noise.</w:t>
      </w:r>
    </w:p>
    <w:p>
      <w:r>
        <w:rPr>
          <w:i/>
        </w:rPr>
        <w:t xml:space="preserve"> </w:t>
      </w:r>
      <w:r>
        <w:rPr>
          <w:i/>
        </w:rPr>
        <w:t>Attenuation in the signal band</w:t>
      </w:r>
      <w:r>
        <w:t>* (</w:t>
      </w:r>
      <w:r>
        <w:rPr>
          <w:rFonts w:ascii="Menlo" w:hAnsi="Menlo"/>
          <w:sz w:val="20"/>
        </w:rPr>
        <w:t>attenuation_signal_band</w:t>
      </w:r>
      <w:r>
        <w:t>) — power-spectral-density ratio in the 1–6 hour cycle band (where physiological glucose dynamics live). 1.0 = no attenuation, &lt; 1 = real signal dampened.</w:t>
      </w:r>
    </w:p>
    <w:p>
      <w:r>
        <w:rPr>
          <w:i/>
        </w:rPr>
        <w:t xml:space="preserve"> </w:t>
      </w:r>
      <w:r>
        <w:rPr>
          <w:i/>
        </w:rPr>
        <w:t>Hypoglycaemia preservation</w:t>
      </w:r>
      <w:r>
        <w:t>* (</w:t>
      </w:r>
      <w:r>
        <w:rPr>
          <w:rFonts w:ascii="Menlo" w:hAnsi="Menlo"/>
          <w:sz w:val="20"/>
        </w:rPr>
        <w:t>hypo_preserved_pct</w:t>
      </w:r>
      <w:r>
        <w:t>) — percentage of independent &lt; 70 mg/dL events in the raw (separated by ≥ 60 min of in-range glucose) that the smoothed series also dips below 70 mg/dL on within the same event window.</w:t>
      </w:r>
    </w:p>
    <w:p>
      <w:r>
        <w:rPr>
          <w:i/>
        </w:rPr>
        <w:t xml:space="preserve"> </w:t>
      </w:r>
      <w:r>
        <w:rPr>
          <w:i/>
        </w:rPr>
        <w:t>Hypo amplitude delta</w:t>
      </w:r>
      <w:r>
        <w:t>* (</w:t>
      </w:r>
      <w:r>
        <w:rPr>
          <w:rFonts w:ascii="Menlo" w:hAnsi="Menlo"/>
          <w:sz w:val="20"/>
        </w:rPr>
        <w:t>hypo_amp_delta</w:t>
      </w:r>
      <w:r>
        <w:t>) — median (smoothed nadir − raw nadir) across preserved hypo events.</w:t>
      </w:r>
    </w:p>
    <w:p>
      <w:r>
        <w:rPr>
          <w:i/>
        </w:rPr>
        <w:t xml:space="preserve"> </w:t>
      </w:r>
      <w:r>
        <w:rPr>
          <w:i/>
        </w:rPr>
        <w:t>Peak preservation</w:t>
      </w:r>
      <w:r>
        <w:t>* (</w:t>
      </w:r>
      <w:r>
        <w:rPr>
          <w:rFonts w:ascii="Menlo" w:hAnsi="Menlo"/>
          <w:sz w:val="20"/>
        </w:rPr>
        <w:t>peak_preserved_pct</w:t>
      </w:r>
      <w:r>
        <w:t>) — same as hypo, but for &gt; 180 mg/dL excursions.</w:t>
      </w:r>
    </w:p>
    <w:p>
      <w:r>
        <w:rPr>
          <w:i/>
        </w:rPr>
        <w:t xml:space="preserve"> </w:t>
      </w:r>
      <w:r>
        <w:rPr>
          <w:i/>
        </w:rPr>
        <w:t>Outlier absorption</w:t>
      </w:r>
      <w:r>
        <w:t>* (</w:t>
      </w:r>
      <w:r>
        <w:rPr>
          <w:rFonts w:ascii="Menlo" w:hAnsi="Menlo"/>
          <w:sz w:val="20"/>
        </w:rPr>
        <w:t>outlier_absorbed_pct</w:t>
      </w:r>
      <w:r>
        <w:t>) — percentage of single-step (one-grid-step, i.e. 5-minute) raw changes ≥ 40 mg/dL that the smoothed series does not also exhibit at the same step (i.e. the smoothed first-difference at that step falls below 40 mg/dL).</w:t>
      </w:r>
    </w:p>
    <w:p>
      <w:r>
        <w:t>We also produced spectrum-domain transfer-function estimates and per-step modification deltas (the change a smoother applies relative to the raw input, broken down into predict / update / RTS components for the UKF).</w:t>
      </w:r>
    </w:p>
    <w:p>
      <w:pPr>
        <w:pStyle w:val="Heading2"/>
      </w:pPr>
      <w:r>
        <w:t>2.5 Cross-smoother statistics</w:t>
      </w:r>
    </w:p>
    <w:p>
      <w:r>
        <w:t>We compared smoothers pairwise on each metric using the paired Wilcoxon signed-rank test (the smoothers see the same input per user, so users are matched units), with Holm-corrected p-values across the three pairs of smoothers (</w:t>
      </w:r>
      <w:r>
        <w:rPr>
          <w:rFonts w:ascii="Menlo" w:hAnsi="Menlo"/>
          <w:sz w:val="20"/>
        </w:rPr>
        <w:t>aaps_average</w:t>
      </w:r>
      <w:r>
        <w:t xml:space="preserve"> vs </w:t>
      </w:r>
      <w:r>
        <w:rPr>
          <w:rFonts w:ascii="Menlo" w:hAnsi="Menlo"/>
          <w:sz w:val="20"/>
        </w:rPr>
        <w:t>aaps_exponential</w:t>
      </w:r>
      <w:r>
        <w:t xml:space="preserve">, </w:t>
      </w:r>
      <w:r>
        <w:rPr>
          <w:rFonts w:ascii="Menlo" w:hAnsi="Menlo"/>
          <w:sz w:val="20"/>
        </w:rPr>
        <w:t>aaps_average</w:t>
      </w:r>
      <w:r>
        <w:t xml:space="preserve"> vs </w:t>
      </w:r>
      <w:r>
        <w:rPr>
          <w:rFonts w:ascii="Menlo" w:hAnsi="Menlo"/>
          <w:sz w:val="20"/>
        </w:rPr>
        <w:t>ukf</w:t>
      </w:r>
      <w:r>
        <w:t xml:space="preserve">, </w:t>
      </w:r>
      <w:r>
        <w:rPr>
          <w:rFonts w:ascii="Menlo" w:hAnsi="Menlo"/>
          <w:sz w:val="20"/>
        </w:rPr>
        <w:t>aaps_exponential</w:t>
      </w:r>
      <w:r>
        <w:t xml:space="preserve"> vs </w:t>
      </w:r>
      <w:r>
        <w:rPr>
          <w:rFonts w:ascii="Menlo" w:hAnsi="Menlo"/>
          <w:sz w:val="20"/>
        </w:rPr>
        <w:t>ukf</w:t>
      </w:r>
      <w:r>
        <w:t>).</w:t>
      </w:r>
    </w:p>
    <w:p>
      <w:pPr>
        <w:pStyle w:val="Heading1"/>
      </w:pPr>
      <w:r>
        <w:t>3. Results</w:t>
      </w:r>
    </w:p>
    <w:p>
      <w:pPr>
        <w:pStyle w:val="Heading2"/>
      </w:pPr>
      <w:r>
        <w:t>3.1 Operational summary by algorithm</w:t>
      </w:r>
    </w:p>
    <w:p>
      <w:r>
        <w:t>The following table reports the cohort median (with the 25th–75th percentile range across the 19 users) for each algorithm on the production-realistic online evaluation.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Metric</w:t>
            </w:r>
          </w:p>
        </w:tc>
        <w:tc>
          <w:tcPr>
            <w:tcW w:type="dxa" w:w="2160"/>
          </w:tcPr>
          <w:p>
            <w:pPr>
              <w:jc w:val="center"/>
            </w:pPr>
            <w:r>
              <w:rPr>
                <w:b/>
                <w:sz w:val="18"/>
              </w:rPr>
              <w:t>AAPS Average</w:t>
            </w:r>
          </w:p>
        </w:tc>
        <w:tc>
          <w:tcPr>
            <w:tcW w:type="dxa" w:w="2160"/>
          </w:tcPr>
          <w:p>
            <w:pPr>
              <w:jc w:val="center"/>
            </w:pPr>
            <w:r>
              <w:rPr>
                <w:b/>
                <w:sz w:val="18"/>
              </w:rPr>
              <w:t>AAPS Exponential</w:t>
            </w:r>
          </w:p>
        </w:tc>
        <w:tc>
          <w:tcPr>
            <w:tcW w:type="dxa" w:w="2160"/>
          </w:tcPr>
          <w:p>
            <w:pPr>
              <w:jc w:val="center"/>
            </w:pPr>
            <w:r>
              <w:rPr>
                <w:b/>
                <w:sz w:val="18"/>
              </w:rPr>
              <w:t>UKF</w:t>
            </w:r>
          </w:p>
        </w:tc>
      </w:tr>
      <w:tr>
        <w:tc>
          <w:tcPr>
            <w:tcW w:type="dxa" w:w="2160"/>
          </w:tcPr>
          <w:p>
            <w:pPr>
              <w:jc w:val="center"/>
            </w:pPr>
            <w:r>
              <w:rPr>
                <w:sz w:val="18"/>
              </w:rPr>
              <w:t>Noise reduction ratio (smaller = more smoothing)</w:t>
            </w:r>
          </w:p>
        </w:tc>
        <w:tc>
          <w:tcPr>
            <w:tcW w:type="dxa" w:w="2160"/>
          </w:tcPr>
          <w:p>
            <w:pPr>
              <w:jc w:val="center"/>
            </w:pPr>
            <w:r>
              <w:rPr>
                <w:sz w:val="18"/>
              </w:rPr>
              <w:t>1.000 (1.000 – 1.000)</w:t>
            </w:r>
          </w:p>
        </w:tc>
        <w:tc>
          <w:tcPr>
            <w:tcW w:type="dxa" w:w="2160"/>
          </w:tcPr>
          <w:p>
            <w:pPr>
              <w:jc w:val="center"/>
            </w:pPr>
            <w:r>
              <w:rPr>
                <w:sz w:val="18"/>
              </w:rPr>
              <w:t>0.840 (0.767 – 0.888)</w:t>
            </w:r>
          </w:p>
        </w:tc>
        <w:tc>
          <w:tcPr>
            <w:tcW w:type="dxa" w:w="2160"/>
          </w:tcPr>
          <w:p>
            <w:pPr>
              <w:jc w:val="center"/>
            </w:pPr>
            <w:r>
              <w:rPr>
                <w:sz w:val="18"/>
              </w:rPr>
              <w:t>0.819 (0.737 – 0.872)</w:t>
            </w:r>
          </w:p>
        </w:tc>
      </w:tr>
      <w:tr>
        <w:tc>
          <w:tcPr>
            <w:tcW w:type="dxa" w:w="2160"/>
          </w:tcPr>
          <w:p>
            <w:pPr>
              <w:jc w:val="center"/>
            </w:pPr>
            <w:r>
              <w:rPr>
                <w:sz w:val="18"/>
              </w:rPr>
              <w:t>Attenuation in signal band (≈ 1 = transparent)</w:t>
            </w:r>
          </w:p>
        </w:tc>
        <w:tc>
          <w:tcPr>
            <w:tcW w:type="dxa" w:w="2160"/>
          </w:tcPr>
          <w:p>
            <w:pPr>
              <w:jc w:val="center"/>
            </w:pPr>
            <w:r>
              <w:rPr>
                <w:sz w:val="18"/>
              </w:rPr>
              <w:t>1.000 (1.000 – 1.000)</w:t>
            </w:r>
          </w:p>
        </w:tc>
        <w:tc>
          <w:tcPr>
            <w:tcW w:type="dxa" w:w="2160"/>
          </w:tcPr>
          <w:p>
            <w:pPr>
              <w:jc w:val="center"/>
            </w:pPr>
            <w:r>
              <w:rPr>
                <w:sz w:val="18"/>
              </w:rPr>
              <w:t>1.032 (1.029 – 1.035)</w:t>
            </w:r>
          </w:p>
        </w:tc>
        <w:tc>
          <w:tcPr>
            <w:tcW w:type="dxa" w:w="2160"/>
          </w:tcPr>
          <w:p>
            <w:pPr>
              <w:jc w:val="center"/>
            </w:pPr>
            <w:r>
              <w:rPr>
                <w:sz w:val="18"/>
              </w:rPr>
              <w:t>1.032 (1.031 – 1.034)</w:t>
            </w:r>
          </w:p>
        </w:tc>
      </w:tr>
      <w:tr>
        <w:tc>
          <w:tcPr>
            <w:tcW w:type="dxa" w:w="2160"/>
          </w:tcPr>
          <w:p>
            <w:pPr>
              <w:jc w:val="center"/>
            </w:pPr>
            <w:r>
              <w:rPr>
                <w:sz w:val="18"/>
              </w:rPr>
              <w:t>Cross-correlation lag (min)</w:t>
            </w:r>
          </w:p>
        </w:tc>
        <w:tc>
          <w:tcPr>
            <w:tcW w:type="dxa" w:w="2160"/>
          </w:tcPr>
          <w:p>
            <w:pPr>
              <w:jc w:val="center"/>
            </w:pPr>
            <w:r>
              <w:rPr>
                <w:sz w:val="18"/>
              </w:rPr>
              <w:t>0.000 (0.000 – 0.000)</w:t>
            </w:r>
          </w:p>
        </w:tc>
        <w:tc>
          <w:tcPr>
            <w:tcW w:type="dxa" w:w="2160"/>
          </w:tcPr>
          <w:p>
            <w:pPr>
              <w:jc w:val="center"/>
            </w:pPr>
            <w:r>
              <w:rPr>
                <w:sz w:val="18"/>
              </w:rPr>
              <w:t>1.94 (1.68 – 2.04)</w:t>
            </w:r>
          </w:p>
        </w:tc>
        <w:tc>
          <w:tcPr>
            <w:tcW w:type="dxa" w:w="2160"/>
          </w:tcPr>
          <w:p>
            <w:pPr>
              <w:jc w:val="center"/>
            </w:pPr>
            <w:r>
              <w:rPr>
                <w:sz w:val="18"/>
              </w:rPr>
              <w:t>1.11 (1.01 – 1.22)</w:t>
            </w:r>
          </w:p>
        </w:tc>
      </w:tr>
      <w:tr>
        <w:tc>
          <w:tcPr>
            <w:tcW w:type="dxa" w:w="2160"/>
          </w:tcPr>
          <w:p>
            <w:pPr>
              <w:jc w:val="center"/>
            </w:pPr>
            <w:r>
              <w:rPr>
                <w:sz w:val="18"/>
              </w:rPr>
              <w:t>Phase-shift delay (min)</w:t>
            </w:r>
          </w:p>
        </w:tc>
        <w:tc>
          <w:tcPr>
            <w:tcW w:type="dxa" w:w="2160"/>
          </w:tcPr>
          <w:p>
            <w:pPr>
              <w:jc w:val="center"/>
            </w:pPr>
            <w:r>
              <w:rPr>
                <w:sz w:val="18"/>
              </w:rPr>
              <w:t>0.00 (0.00 – 0.00)</w:t>
            </w:r>
          </w:p>
        </w:tc>
        <w:tc>
          <w:tcPr>
            <w:tcW w:type="dxa" w:w="2160"/>
          </w:tcPr>
          <w:p>
            <w:pPr>
              <w:jc w:val="center"/>
            </w:pPr>
            <w:r>
              <w:rPr>
                <w:sz w:val="18"/>
              </w:rPr>
              <w:t>−1.71 (−1.84 – −1.61)</w:t>
            </w:r>
          </w:p>
        </w:tc>
        <w:tc>
          <w:tcPr>
            <w:tcW w:type="dxa" w:w="2160"/>
          </w:tcPr>
          <w:p>
            <w:pPr>
              <w:jc w:val="center"/>
            </w:pPr>
            <w:r>
              <w:rPr>
                <w:sz w:val="18"/>
              </w:rPr>
              <w:t>−0.85 (−0.89 – −0.77)</w:t>
            </w:r>
          </w:p>
        </w:tc>
      </w:tr>
      <w:tr>
        <w:tc>
          <w:tcPr>
            <w:tcW w:type="dxa" w:w="2160"/>
          </w:tcPr>
          <w:p>
            <w:pPr>
              <w:jc w:val="center"/>
            </w:pPr>
            <w:r>
              <w:rPr>
                <w:sz w:val="18"/>
              </w:rPr>
              <w:t>Step-response delay (min)</w:t>
            </w:r>
          </w:p>
        </w:tc>
        <w:tc>
          <w:tcPr>
            <w:tcW w:type="dxa" w:w="2160"/>
          </w:tcPr>
          <w:p>
            <w:pPr>
              <w:jc w:val="center"/>
            </w:pPr>
            <w:r>
              <w:rPr>
                <w:sz w:val="18"/>
              </w:rPr>
              <w:t>−0.75 (−0.94 – −0.63)</w:t>
            </w:r>
          </w:p>
        </w:tc>
        <w:tc>
          <w:tcPr>
            <w:tcW w:type="dxa" w:w="2160"/>
          </w:tcPr>
          <w:p>
            <w:pPr>
              <w:jc w:val="center"/>
            </w:pPr>
            <w:r>
              <w:rPr>
                <w:sz w:val="18"/>
              </w:rPr>
              <w:t>0.31 (0.21 – 0.41)</w:t>
            </w:r>
          </w:p>
        </w:tc>
        <w:tc>
          <w:tcPr>
            <w:tcW w:type="dxa" w:w="2160"/>
          </w:tcPr>
          <w:p>
            <w:pPr>
              <w:jc w:val="center"/>
            </w:pPr>
            <w:r>
              <w:rPr>
                <w:sz w:val="18"/>
              </w:rPr>
              <w:t>−0.25 (−0.29 – −0.19)</w:t>
            </w:r>
          </w:p>
        </w:tc>
      </w:tr>
      <w:tr>
        <w:tc>
          <w:tcPr>
            <w:tcW w:type="dxa" w:w="2160"/>
          </w:tcPr>
          <w:p>
            <w:pPr>
              <w:jc w:val="center"/>
            </w:pPr>
            <w:r>
              <w:rPr>
                <w:sz w:val="18"/>
              </w:rPr>
              <w:t>Hypo events preserved (%)</w:t>
            </w:r>
          </w:p>
        </w:tc>
        <w:tc>
          <w:tcPr>
            <w:tcW w:type="dxa" w:w="2160"/>
          </w:tcPr>
          <w:p>
            <w:pPr>
              <w:jc w:val="center"/>
            </w:pPr>
            <w:r>
              <w:rPr>
                <w:sz w:val="18"/>
              </w:rPr>
              <w:t>100.0 (100.0 – 100.0)</w:t>
            </w:r>
          </w:p>
        </w:tc>
        <w:tc>
          <w:tcPr>
            <w:tcW w:type="dxa" w:w="2160"/>
          </w:tcPr>
          <w:p>
            <w:pPr>
              <w:jc w:val="center"/>
            </w:pPr>
            <w:r>
              <w:rPr>
                <w:sz w:val="18"/>
              </w:rPr>
              <w:t>92.9 (87.5 – 95.1)</w:t>
            </w:r>
          </w:p>
        </w:tc>
        <w:tc>
          <w:tcPr>
            <w:tcW w:type="dxa" w:w="2160"/>
          </w:tcPr>
          <w:p>
            <w:pPr>
              <w:jc w:val="center"/>
            </w:pPr>
            <w:r>
              <w:rPr>
                <w:sz w:val="18"/>
              </w:rPr>
              <w:t>96.6 (92.2 – 97.7)</w:t>
            </w:r>
          </w:p>
        </w:tc>
      </w:tr>
      <w:tr>
        <w:tc>
          <w:tcPr>
            <w:tcW w:type="dxa" w:w="2160"/>
          </w:tcPr>
          <w:p>
            <w:pPr>
              <w:jc w:val="center"/>
            </w:pPr>
            <w:r>
              <w:rPr>
                <w:sz w:val="18"/>
              </w:rPr>
              <w:t>Median hypo amplitude delta (mg/dL)</w:t>
            </w:r>
          </w:p>
        </w:tc>
        <w:tc>
          <w:tcPr>
            <w:tcW w:type="dxa" w:w="2160"/>
          </w:tcPr>
          <w:p>
            <w:pPr>
              <w:jc w:val="center"/>
            </w:pPr>
            <w:r>
              <w:rPr>
                <w:sz w:val="18"/>
              </w:rPr>
              <w:t>0.00 (0.00 – 0.00)</w:t>
            </w:r>
          </w:p>
        </w:tc>
        <w:tc>
          <w:tcPr>
            <w:tcW w:type="dxa" w:w="2160"/>
          </w:tcPr>
          <w:p>
            <w:pPr>
              <w:jc w:val="center"/>
            </w:pPr>
            <w:r>
              <w:rPr>
                <w:sz w:val="18"/>
              </w:rPr>
              <w:t>0.00 (−0.15 – 0.00)</w:t>
            </w:r>
          </w:p>
        </w:tc>
        <w:tc>
          <w:tcPr>
            <w:tcW w:type="dxa" w:w="2160"/>
          </w:tcPr>
          <w:p>
            <w:pPr>
              <w:jc w:val="center"/>
            </w:pPr>
            <w:r>
              <w:rPr>
                <w:sz w:val="18"/>
              </w:rPr>
              <w:t>−0.18 (−0.35 – −0.01)</w:t>
            </w:r>
          </w:p>
        </w:tc>
      </w:tr>
      <w:tr>
        <w:tc>
          <w:tcPr>
            <w:tcW w:type="dxa" w:w="2160"/>
          </w:tcPr>
          <w:p>
            <w:pPr>
              <w:jc w:val="center"/>
            </w:pPr>
            <w:r>
              <w:rPr>
                <w:sz w:val="18"/>
              </w:rPr>
              <w:t>Peak (&gt; 180 mg/dL) preserved (%)</w:t>
            </w:r>
          </w:p>
        </w:tc>
        <w:tc>
          <w:tcPr>
            <w:tcW w:type="dxa" w:w="2160"/>
          </w:tcPr>
          <w:p>
            <w:pPr>
              <w:jc w:val="center"/>
            </w:pPr>
            <w:r>
              <w:rPr>
                <w:sz w:val="18"/>
              </w:rPr>
              <w:t>100.0 (100.0 – 100.0)</w:t>
            </w:r>
          </w:p>
        </w:tc>
        <w:tc>
          <w:tcPr>
            <w:tcW w:type="dxa" w:w="2160"/>
          </w:tcPr>
          <w:p>
            <w:pPr>
              <w:jc w:val="center"/>
            </w:pPr>
            <w:r>
              <w:rPr>
                <w:sz w:val="18"/>
              </w:rPr>
              <w:t>98.4 (96.1 – 99.5)</w:t>
            </w:r>
          </w:p>
        </w:tc>
        <w:tc>
          <w:tcPr>
            <w:tcW w:type="dxa" w:w="2160"/>
          </w:tcPr>
          <w:p>
            <w:pPr>
              <w:jc w:val="center"/>
            </w:pPr>
            <w:r>
              <w:rPr>
                <w:sz w:val="18"/>
              </w:rPr>
              <w:t>99.5 (98.5 – 100.0)</w:t>
            </w:r>
          </w:p>
        </w:tc>
      </w:tr>
      <w:tr>
        <w:tc>
          <w:tcPr>
            <w:tcW w:type="dxa" w:w="2160"/>
          </w:tcPr>
          <w:p>
            <w:pPr>
              <w:jc w:val="center"/>
            </w:pPr>
            <w:r>
              <w:rPr>
                <w:sz w:val="18"/>
              </w:rPr>
              <w:t>Outlier absorption (%)</w:t>
            </w:r>
          </w:p>
        </w:tc>
        <w:tc>
          <w:tcPr>
            <w:tcW w:type="dxa" w:w="2160"/>
          </w:tcPr>
          <w:p>
            <w:pPr>
              <w:jc w:val="center"/>
            </w:pPr>
            <w:r>
              <w:rPr>
                <w:sz w:val="18"/>
              </w:rPr>
              <w:t>0.0 (0.0 – 0.0)</w:t>
            </w:r>
          </w:p>
        </w:tc>
        <w:tc>
          <w:tcPr>
            <w:tcW w:type="dxa" w:w="2160"/>
          </w:tcPr>
          <w:p>
            <w:pPr>
              <w:jc w:val="center"/>
            </w:pPr>
            <w:r>
              <w:rPr>
                <w:sz w:val="18"/>
              </w:rPr>
              <w:t>29.7 (20.3 – 48.9)</w:t>
            </w:r>
          </w:p>
        </w:tc>
        <w:tc>
          <w:tcPr>
            <w:tcW w:type="dxa" w:w="2160"/>
          </w:tcPr>
          <w:p>
            <w:pPr>
              <w:jc w:val="center"/>
            </w:pPr>
            <w:r>
              <w:rPr>
                <w:sz w:val="18"/>
              </w:rPr>
              <w:t>37.8 (29.2 – 59.5)</w:t>
            </w:r>
          </w:p>
        </w:tc>
      </w:tr>
    </w:tbl>
    <w:p/>
    <w:p>
      <w:r>
        <w:t>A few features stand out.</w:t>
      </w:r>
    </w:p>
    <w:p>
      <w:r>
        <w:rPr>
          <w:b/>
        </w:rPr>
        <w:t>AAPS Average is operationally a no-op at the leading edge.</w:t>
      </w:r>
      <w:r>
        <w:t xml:space="preserve"> Every metric driven by the leading-edge value reduces to its raw-pass-through level: noise ratio 1.0, phase shift 0, no outlier absorption, 100 % hypo and peak preservation. The step-response value of −0.75 minutes is a metric artefact (the smoothed-rate threshold of 0.35 mg/dL/min is crossed before the raw-rate threshold of 0.5 mg/dL/min as a rising rate sweeps past 0.35 then 0.5, regardless of whether smoothing is applied) and is consistent with no leading-edge effect. This behaviour is the consequence of the production AAPS design — the dose engine reads the raw value for the current reading and the smoother only retroactively smooths older readings — not a flaw. The smoother does affect rate-of-change calculations (because the AID may compute slope using smoothed t − 1 and raw t), but the current-reading value driving the next bolus or basal adjustment is never modified.</w:t>
      </w:r>
    </w:p>
    <w:p>
      <w:r>
        <w:rPr>
          <w:b/>
        </w:rPr>
        <w:t>AAPS Exponential applies the larger phase delay.</w:t>
      </w:r>
      <w:r>
        <w:t xml:space="preserve"> It reduces step-to-step noise by 16 % (cohort median) at a cost of a 1.7-minute phase delay, with 7 % of low-glucose events not preserved (the smoother lifts the nadir above 70 mg/dL or shifts the timing) and a step-response that crosses the smoothed-rate threshold 0.31 minutes after the raw rate crossing — the only smoother in the cohort with a positive step-response value.</w:t>
      </w:r>
    </w:p>
    <w:p>
      <w:r>
        <w:rPr>
          <w:b/>
        </w:rPr>
        <w:t>The UKF achieves slightly more noise reduction at less than half the phase delay.</w:t>
      </w:r>
      <w:r>
        <w:t xml:space="preserve"> It reduces step-to-step noise by 18 % (cohort median) versus AAPS Exponential's 16 %, with phase delay 0.85 minutes versus AAPS Exponential's 1.7 minutes. The step-response value (median −0.25 min) is negative because the metric uses a smoothed-rate threshold of 0.35 mg/dL/min while measuring against a raw-rate threshold of 0.5 mg/dL/min: the smoothed rate, fed by the UKF's rate-state, crosses 0.35 mg/dL/min before the raw single-step rate crosses 0.5 mg/dL/min in 50 % of large events. AAPS Average shows a comparable −0.75 min on the same metric for the same threshold-asymmetry reason. This number should not be read as the UKF "predicting" the future of the raw stream.</w:t>
      </w:r>
    </w:p>
    <w:p>
      <w:r>
        <w:t xml:space="preserve">Pairwise Wilcoxon signed-rank tests with Holm correction across the 30 (metric × pair) combinations: for the metrics on which AAPS Average is structurally distinct from the adaptive smoothers (noise reduction, phase shift, signal-band attenuation, cross-correlation lag, outlier absorption), AAPS Average vs each adaptive smoother rejects at p ≤ 1e-4. AAPS Exponential vs UKF rejects at p ≤ 1e-3 on cross-correlation lag, step-response delay, phase shift, hypo preservation, peak preservation and outlier absorption; rejects at p = 0.026 on noise reduction (significant at α = 0.05 but the Exp-vs-UKF noise difference is modest, ≈ 2 percentage points); and does not reject on signal-band attenuation, hypo amplitude delta, or hypo timing delta (p &gt; 0.05 — the smoothed/raw signal-band gain and the small-amplitude shifts in surviving hypo events are not statistically separable between the two adaptive smoothers in this cohort). The full table is in </w:t>
      </w:r>
      <w:r>
        <w:rPr>
          <w:rFonts w:ascii="Menlo" w:hAnsi="Menlo"/>
          <w:sz w:val="20"/>
        </w:rPr>
        <w:t>reports/cross_smoother_tests.csv</w:t>
      </w:r>
      <w:r>
        <w:t>.</w:t>
      </w:r>
    </w:p>
    <w:p>
      <w:pPr>
        <w:pStyle w:val="Heading2"/>
      </w:pPr>
      <w:r>
        <w:t>3.2 Pareto frontier — noise reduction vs phase shift</w:t>
      </w:r>
    </w:p>
    <w:p>
      <w:pPr>
        <w:jc w:val="center"/>
      </w:pPr>
      <w:r>
        <w:drawing>
          <wp:inline xmlns:a="http://schemas.openxmlformats.org/drawingml/2006/main" xmlns:pic="http://schemas.openxmlformats.org/drawingml/2006/picture">
            <wp:extent cx="5943600" cy="4448276"/>
            <wp:docPr id="1" name="Picture 1"/>
            <wp:cNvGraphicFramePr>
              <a:graphicFrameLocks noChangeAspect="1"/>
            </wp:cNvGraphicFramePr>
            <a:graphic>
              <a:graphicData uri="http://schemas.openxmlformats.org/drawingml/2006/picture">
                <pic:pic>
                  <pic:nvPicPr>
                    <pic:cNvPr id="0" name="pareto_noise_vs_delay.png"/>
                    <pic:cNvPicPr/>
                  </pic:nvPicPr>
                  <pic:blipFill>
                    <a:blip r:embed="rId9"/>
                    <a:stretch>
                      <a:fillRect/>
                    </a:stretch>
                  </pic:blipFill>
                  <pic:spPr>
                    <a:xfrm>
                      <a:off x="0" y="0"/>
                      <a:ext cx="5943600" cy="4448276"/>
                    </a:xfrm>
                    <a:prstGeom prst="rect"/>
                  </pic:spPr>
                </pic:pic>
              </a:graphicData>
            </a:graphic>
          </wp:inline>
        </w:drawing>
      </w:r>
    </w:p>
    <w:p>
      <w:pPr>
        <w:jc w:val="center"/>
      </w:pPr>
      <w:r>
        <w:rPr>
          <w:i/>
          <w:color w:val="555555"/>
        </w:rPr>
        <w:t>Figure 1. Per-user noise reduction ratio plotted against phase-shift delay for each smoother. Lower-left is better (more noise reduction at smaller delay). The UKF cluster lies at smaller phase delay than AAPS Exponential, with overlapping noise-reduction ranges. AAPS Average is at (1, 0) — the no-op corner.</w:t>
      </w:r>
    </w:p>
    <w:p>
      <w:r>
        <w:t>The figure makes the trade-off concrete. AAPS Exponential's points cluster at noise ratio 0.36 – 0.94 with phase delay −1.2 to −2.3 minutes; UKF's points cluster at noise ratio 0.40 – 0.92 with phase delay −0.66 to −1.17 minutes. On a per-user paired comparison the UKF achieves at least as much noise reduction at smaller phase-delay magnitude than AAPS Exponential for 14 of 19 users; the remaining 5 users (U033, U047, U138, U142, U143) have AAPS Exponential with marginally lower noise ratios than the UKF on the same user but with larger phase delays. Across the cohort the existential claim holds for 18 of 19 AAPS Exponential operating points (some UKF user has at least as much noise reduction at smaller phase-delay magnitude); U033's AAPS Exponential point at noise ratio 0.359 is the one not matched by any UKF user.</w:t>
      </w:r>
    </w:p>
    <w:p>
      <w:pPr>
        <w:jc w:val="center"/>
      </w:pPr>
      <w:r>
        <w:drawing>
          <wp:inline xmlns:a="http://schemas.openxmlformats.org/drawingml/2006/main" xmlns:pic="http://schemas.openxmlformats.org/drawingml/2006/picture">
            <wp:extent cx="5943600" cy="4246526"/>
            <wp:docPr id="2" name="Picture 2"/>
            <wp:cNvGraphicFramePr>
              <a:graphicFrameLocks noChangeAspect="1"/>
            </wp:cNvGraphicFramePr>
            <a:graphic>
              <a:graphicData uri="http://schemas.openxmlformats.org/drawingml/2006/picture">
                <pic:pic>
                  <pic:nvPicPr>
                    <pic:cNvPr id="0" name="transfer_function.png"/>
                    <pic:cNvPicPr/>
                  </pic:nvPicPr>
                  <pic:blipFill>
                    <a:blip r:embed="rId10"/>
                    <a:stretch>
                      <a:fillRect/>
                    </a:stretch>
                  </pic:blipFill>
                  <pic:spPr>
                    <a:xfrm>
                      <a:off x="0" y="0"/>
                      <a:ext cx="5943600" cy="4246526"/>
                    </a:xfrm>
                    <a:prstGeom prst="rect"/>
                  </pic:spPr>
                </pic:pic>
              </a:graphicData>
            </a:graphic>
          </wp:inline>
        </w:drawing>
      </w:r>
    </w:p>
    <w:p>
      <w:pPr>
        <w:jc w:val="center"/>
      </w:pPr>
      <w:r>
        <w:rPr>
          <w:i/>
          <w:color w:val="555555"/>
        </w:rPr>
        <w:t>Figure 2. Spectral transfer function (smoothed/raw power vs frequency) for each smoother, averaged across the cohort. AAPS Average is unity at all frequencies, consistent with no leading-edge effect. AAPS Exponential and the UKF roll off similarly above 0.05 Hz (≈ 5 minute period); the UKF's signal-band gain is essentially identical to AAPS Exponential's, confirming both preserve real glucose dynamics.</w:t>
      </w:r>
    </w:p>
    <w:p>
      <w:pPr>
        <w:pStyle w:val="Heading2"/>
      </w:pPr>
      <w:r>
        <w:t>3.3 Per-step decomposition</w:t>
      </w:r>
    </w:p>
    <w:p>
      <w:r>
        <w:t>For the UKF we can decompose the smoothing into three stages and report the per-reading absolute delta each stage applies. The cohort-median |Δ| in mg/dL 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Stage</w:t>
            </w:r>
          </w:p>
        </w:tc>
        <w:tc>
          <w:tcPr>
            <w:tcW w:type="dxa" w:w="1728"/>
          </w:tcPr>
          <w:p>
            <w:pPr>
              <w:jc w:val="center"/>
            </w:pPr>
            <w:r>
              <w:rPr>
                <w:b/>
                <w:sz w:val="18"/>
              </w:rPr>
              <w:t>Median</w:t>
            </w:r>
          </w:p>
        </w:tc>
        <w:tc>
          <w:tcPr>
            <w:tcW w:type="dxa" w:w="1728"/>
          </w:tcPr>
          <w:p>
            <w:pPr>
              <w:jc w:val="center"/>
            </w:pPr>
            <w:r>
              <w:rPr>
                <w:b/>
                <w:sz w:val="18"/>
              </w:rPr>
              <w:t>Δ</w:t>
            </w:r>
          </w:p>
        </w:tc>
        <w:tc>
          <w:tcPr>
            <w:tcW w:type="dxa" w:w="1728"/>
          </w:tcPr>
          <w:p>
            <w:pPr>
              <w:jc w:val="center"/>
            </w:pPr>
            <w:r>
              <w:rPr>
                <w:b/>
                <w:sz w:val="18"/>
              </w:rPr>
              <w:t>(mg/dL)</w:t>
            </w:r>
          </w:p>
        </w:tc>
        <w:tc>
          <w:tcPr>
            <w:tcW w:type="dxa" w:w="1728"/>
          </w:tcPr>
          <w:p>
            <w:pPr>
              <w:jc w:val="center"/>
            </w:pPr>
            <w:r>
              <w:rPr>
                <w:b/>
                <w:sz w:val="18"/>
              </w:rPr>
              <w:t>Frac. of readings changed</w:t>
            </w:r>
          </w:p>
        </w:tc>
      </w:tr>
      <w:tr>
        <w:tc>
          <w:tcPr>
            <w:tcW w:type="dxa" w:w="1728"/>
          </w:tcPr>
          <w:p>
            <w:pPr>
              <w:jc w:val="center"/>
            </w:pPr>
            <w:r>
              <w:rPr>
                <w:sz w:val="18"/>
              </w:rPr>
              <w:t>Predict (sigma-point time-update)</w:t>
            </w:r>
          </w:p>
        </w:tc>
        <w:tc>
          <w:tcPr>
            <w:tcW w:type="dxa" w:w="1728"/>
          </w:tcPr>
          <w:p>
            <w:pPr>
              <w:jc w:val="center"/>
            </w:pPr>
            <w:r>
              <w:rPr>
                <w:sz w:val="18"/>
              </w:rPr>
              <w:t>2.4</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Update (Kalman correction towards measurement)</w:t>
            </w:r>
          </w:p>
        </w:tc>
        <w:tc>
          <w:tcPr>
            <w:tcW w:type="dxa" w:w="1728"/>
          </w:tcPr>
          <w:p>
            <w:pPr>
              <w:jc w:val="center"/>
            </w:pPr>
            <w:r>
              <w:rPr>
                <w:sz w:val="18"/>
              </w:rPr>
              <w:t>1.6</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RTS (backward smoother)</w:t>
            </w:r>
          </w:p>
        </w:tc>
        <w:tc>
          <w:tcPr>
            <w:tcW w:type="dxa" w:w="1728"/>
          </w:tcPr>
          <w:p>
            <w:pPr>
              <w:jc w:val="center"/>
            </w:pPr>
            <w:r>
              <w:rPr>
                <w:sz w:val="18"/>
              </w:rPr>
              <w:t>0.0</w:t>
            </w:r>
          </w:p>
        </w:tc>
        <w:tc>
          <w:tcPr>
            <w:tcW w:type="dxa" w:w="1728"/>
          </w:tcPr>
          <w:p>
            <w:pPr>
              <w:jc w:val="center"/>
            </w:pPr>
            <w:r>
              <w:rPr>
                <w:sz w:val="18"/>
              </w:rPr>
              <w:t>0.01 %</w:t>
            </w:r>
          </w:p>
        </w:tc>
        <w:tc>
          <w:tcPr>
            <w:tcW w:type="dxa" w:w="1728"/>
          </w:tcPr>
          <w:p/>
        </w:tc>
        <w:tc>
          <w:tcPr>
            <w:tcW w:type="dxa" w:w="1728"/>
          </w:tcPr>
          <w:p/>
        </w:tc>
      </w:tr>
    </w:tbl>
    <w:p/>
    <w:p>
      <w:pPr>
        <w:jc w:val="center"/>
      </w:pPr>
      <w:r>
        <w:drawing>
          <wp:inline xmlns:a="http://schemas.openxmlformats.org/drawingml/2006/main" xmlns:pic="http://schemas.openxmlformats.org/drawingml/2006/picture">
            <wp:extent cx="5943600" cy="3942990"/>
            <wp:docPr id="3" name="Picture 3"/>
            <wp:cNvGraphicFramePr>
              <a:graphicFrameLocks noChangeAspect="1"/>
            </wp:cNvGraphicFramePr>
            <a:graphic>
              <a:graphicData uri="http://schemas.openxmlformats.org/drawingml/2006/picture">
                <pic:pic>
                  <pic:nvPicPr>
                    <pic:cNvPr id="0" name="per_step_modification.png"/>
                    <pic:cNvPicPr/>
                  </pic:nvPicPr>
                  <pic:blipFill>
                    <a:blip r:embed="rId11"/>
                    <a:stretch>
                      <a:fillRect/>
                    </a:stretch>
                  </pic:blipFill>
                  <pic:spPr>
                    <a:xfrm>
                      <a:off x="0" y="0"/>
                      <a:ext cx="5943600" cy="3942990"/>
                    </a:xfrm>
                    <a:prstGeom prst="rect"/>
                  </pic:spPr>
                </pic:pic>
              </a:graphicData>
            </a:graphic>
          </wp:inline>
        </w:drawing>
      </w:r>
    </w:p>
    <w:p>
      <w:pPr>
        <w:jc w:val="center"/>
      </w:pPr>
      <w:r>
        <w:rPr>
          <w:i/>
          <w:color w:val="555555"/>
        </w:rPr>
        <w:t>Figure 3. Per-step modification stack: median absolute Δ (mg/dL) at each pipeline stage, broken out by smoother. For AAPS Average and AAPS Exponential the only stage is the filter; for the UKF the stack is predict / update / RTS. RTS contributes essentially zero at the leading edge.</w:t>
      </w:r>
    </w:p>
    <w:p>
      <w:r>
        <w:t xml:space="preserve">The RTS stage applies effectively zero modification at the leading edge — confirming the algorithmic property: RTS revises older positions in the window but leaves the newest state at its forward value. This is </w:t>
      </w:r>
      <w:r>
        <w:rPr>
          <w:i/>
        </w:rPr>
        <w:t>correct</w:t>
      </w:r>
      <w:r>
        <w:t xml:space="preserve"> for a real-time AID — it would be incoherent for the smoother to retroactively rewrite the value the dose engine already used. But it does mean that the RTS code path, which is the most computationally distinctive part of the implementation, contributes nothing to the current-reading output. Its effect is on the historical curve the AID can look back at.</w:t>
      </w:r>
    </w:p>
    <w:p>
      <w:r>
        <w:t>For AAPS Exponential the leading-edge filter applies a median |Δ| of 1.0 mg/dL and changes 78 % of readings (cohort medians).</w:t>
      </w:r>
    </w:p>
    <w:p>
      <w:pPr>
        <w:pStyle w:val="Heading2"/>
      </w:pPr>
      <w:r>
        <w:t>3.3.1 Event-aligned visual comparison</w:t>
      </w:r>
    </w:p>
    <w:p>
      <w:r>
        <w:t>To visualise smoother behaviour against real data, we event-aligned the cohort traces around two reference event types: low-variance "calm" 60-minute windows (raw glucose in [70, 180] mg/dL with |raw rate| &lt; 0.3 mg/dL/min sustained for the full window), and "rate-rise" events (raw rate ≥ 0.5 mg/dL/min sustained for ≥ 15 minutes). The deviation figures below have three panels — (smoothed − raw) glucose, (smoothed − raw) first derivative, and (smoothed − raw) second derivative — but only the glucose panel is described in the captions for brevity.</w:t>
      </w:r>
    </w:p>
    <w:p>
      <w:pPr>
        <w:jc w:val="center"/>
      </w:pPr>
      <w:r>
        <w:drawing>
          <wp:inline xmlns:a="http://schemas.openxmlformats.org/drawingml/2006/main" xmlns:pic="http://schemas.openxmlformats.org/drawingml/2006/picture">
            <wp:extent cx="5943600" cy="4967338"/>
            <wp:docPr id="4" name="Picture 4"/>
            <wp:cNvGraphicFramePr>
              <a:graphicFrameLocks noChangeAspect="1"/>
            </wp:cNvGraphicFramePr>
            <a:graphic>
              <a:graphicData uri="http://schemas.openxmlformats.org/drawingml/2006/picture">
                <pic:pic>
                  <pic:nvPicPr>
                    <pic:cNvPr id="0" name="calm_aligned_deviations.png"/>
                    <pic:cNvPicPr/>
                  </pic:nvPicPr>
                  <pic:blipFill>
                    <a:blip r:embed="rId12"/>
                    <a:stretch>
                      <a:fillRect/>
                    </a:stretch>
                  </pic:blipFill>
                  <pic:spPr>
                    <a:xfrm>
                      <a:off x="0" y="0"/>
                      <a:ext cx="5943600" cy="4967338"/>
                    </a:xfrm>
                    <a:prstGeom prst="rect"/>
                  </pic:spPr>
                </pic:pic>
              </a:graphicData>
            </a:graphic>
          </wp:inline>
        </w:drawing>
      </w:r>
    </w:p>
    <w:p>
      <w:pPr>
        <w:jc w:val="center"/>
      </w:pPr>
      <w:r>
        <w:rPr>
          <w:i/>
          <w:color w:val="555555"/>
        </w:rPr>
        <w:t>Figure 4. Calm-window deviation envelopes: median (line) and IQR (shaded) of (smoothed − raw) across calm windows for each smoother. AAPS Average's envelope sits exactly on zero (no leading-edge effect). AAPS Exponential and the UKF show small bounded deviations during quiet periods.</w:t>
      </w:r>
    </w:p>
    <w:p>
      <w:pPr>
        <w:jc w:val="center"/>
      </w:pPr>
      <w:r>
        <w:drawing>
          <wp:inline xmlns:a="http://schemas.openxmlformats.org/drawingml/2006/main" xmlns:pic="http://schemas.openxmlformats.org/drawingml/2006/picture">
            <wp:extent cx="5943600" cy="5466136"/>
            <wp:docPr id="5" name="Picture 5"/>
            <wp:cNvGraphicFramePr>
              <a:graphicFrameLocks noChangeAspect="1"/>
            </wp:cNvGraphicFramePr>
            <a:graphic>
              <a:graphicData uri="http://schemas.openxmlformats.org/drawingml/2006/picture">
                <pic:pic>
                  <pic:nvPicPr>
                    <pic:cNvPr id="0" name="rate_rise_aligned_deviations.png"/>
                    <pic:cNvPicPr/>
                  </pic:nvPicPr>
                  <pic:blipFill>
                    <a:blip r:embed="rId13"/>
                    <a:stretch>
                      <a:fillRect/>
                    </a:stretch>
                  </pic:blipFill>
                  <pic:spPr>
                    <a:xfrm>
                      <a:off x="0" y="0"/>
                      <a:ext cx="5943600" cy="5466136"/>
                    </a:xfrm>
                    <a:prstGeom prst="rect"/>
                  </pic:spPr>
                </pic:pic>
              </a:graphicData>
            </a:graphic>
          </wp:inline>
        </w:drawing>
      </w:r>
    </w:p>
    <w:p>
      <w:pPr>
        <w:jc w:val="center"/>
      </w:pPr>
      <w:r>
        <w:rPr>
          <w:i/>
          <w:color w:val="555555"/>
        </w:rPr>
        <w:t>Figure 5. Rate-rise event-aligned deviation envelopes: median (line) and IQR (shaded) of (smoothed − raw) across rate-rise events. The negative shift during the rise reflects the smoother's lag — it tracks below the rising raw — and is visibly smaller for the UKF than AAPS Exponential.</w:t>
      </w:r>
    </w:p>
    <w:p>
      <w:pPr>
        <w:pStyle w:val="Heading2"/>
      </w:pPr>
      <w:r>
        <w:t>3.4 Per-user phenotypes</w:t>
      </w:r>
    </w:p>
    <w:p>
      <w:r>
        <w:t>We pivoted the per-user metrics into one row per user with a column for each (metric × algorithm) pair (so each user is described by their full multi-smoother profile), z-scored the columns, and ran KMeans clustering for k ∈ {2, 3, 4}. The best silhouette across k was 0.30, below the 0.4 threshold typically used to declare meaningful cluster structure. We therefore did not assign users to phenotypes for downstream analysis; the smoother ranking is consistent across the cohort and we do not recommend a regime-dependent smoother choice.</w:t>
      </w:r>
    </w:p>
    <w:p>
      <w:pPr>
        <w:pStyle w:val="Heading2"/>
      </w:pPr>
      <w:r>
        <w:t>3.5 SID (Sensor Integrity Detection) re-detection</w:t>
      </w:r>
    </w:p>
    <w:p>
      <w:r>
        <w:t>SID v6 is a research-grade Sensor Integrity Detection layer maintained separately from AAPS and oref0 (it is not part of either production stack). The logic looks for sustained glucose-deviation events that suggest a sensor problem (compression, calibration drift). We ran SID against each smoother's output to count surviving events. The headline numbers across the cohort are:</w:t>
      </w:r>
    </w:p>
    <w:p>
      <w:r>
        <w:t>* AAPS Average: 4 948 SID events (bias to flag, since the leading edge is raw and noisy)</w:t>
      </w:r>
    </w:p>
    <w:p>
      <w:r>
        <w:t>* AAPS Exponential: 1 259 events (75 % fewer than AAPS Average)</w:t>
      </w:r>
    </w:p>
    <w:p>
      <w:r>
        <w:t>* UKF: 2 416 events (51 % fewer than AAPS Average)</w:t>
      </w:r>
    </w:p>
    <w:p>
      <w:pPr>
        <w:jc w:val="center"/>
      </w:pPr>
      <w:r>
        <w:drawing>
          <wp:inline xmlns:a="http://schemas.openxmlformats.org/drawingml/2006/main" xmlns:pic="http://schemas.openxmlformats.org/drawingml/2006/picture">
            <wp:extent cx="5943600" cy="4595567"/>
            <wp:docPr id="6" name="Picture 6"/>
            <wp:cNvGraphicFramePr>
              <a:graphicFrameLocks noChangeAspect="1"/>
            </wp:cNvGraphicFramePr>
            <a:graphic>
              <a:graphicData uri="http://schemas.openxmlformats.org/drawingml/2006/picture">
                <pic:pic>
                  <pic:nvPicPr>
                    <pic:cNvPr id="0" name="sid_pareto.png"/>
                    <pic:cNvPicPr/>
                  </pic:nvPicPr>
                  <pic:blipFill>
                    <a:blip r:embed="rId14"/>
                    <a:stretch>
                      <a:fillRect/>
                    </a:stretch>
                  </pic:blipFill>
                  <pic:spPr>
                    <a:xfrm>
                      <a:off x="0" y="0"/>
                      <a:ext cx="5943600" cy="4595567"/>
                    </a:xfrm>
                    <a:prstGeom prst="rect"/>
                  </pic:spPr>
                </pic:pic>
              </a:graphicData>
            </a:graphic>
          </wp:inline>
        </w:drawing>
      </w:r>
    </w:p>
    <w:p>
      <w:pPr>
        <w:jc w:val="center"/>
      </w:pPr>
      <w:r>
        <w:rPr>
          <w:i/>
          <w:color w:val="555555"/>
        </w:rPr>
        <w:t>Figure 6. Per-user SID-survival vs noise reduction for each smoother. Lower-left is fewer SID events at greater noise reduction. AAPS Exponential lies lowest on event count, the UKF in between, AAPS Average highest (the noisy upper-right corner).</w:t>
      </w:r>
    </w:p>
    <w:p>
      <w:r>
        <w:t xml:space="preserve">This ordering is the opposite of what the noise-reduction metrics alone would suggest. AAPS Exponential reduces the SID event count more than the UKF does, despite reducing high-frequency noise less aggressively than the UKF on standard cohort metrics. The mechanism is the phase shift: SID looks for </w:t>
      </w:r>
      <w:r>
        <w:rPr>
          <w:i/>
        </w:rPr>
        <w:t>sustained</w:t>
      </w:r>
      <w:r>
        <w:t xml:space="preserve"> deviations, and AAPS Exponential's larger phase delay (≈ 1.7 min vs the UKF's ≈ 0.85 min) causes the smoothed series to track the raw more loosely during real glucose excursions, which suppresses the cumulative deviation that triggers SID. The UKF, with its sharper response to genuine excursions, more often produces deviations that meet SID's amplitude/duration thresholds. Whether the AAPS Exponential reduction is a benefit (fewer false-positive sensor flags) or a harm (more missed real sensor problems) depends on a ground-truth label set we do not have. We record that the smoother choice changes how often the SID layer fires, without claiming a clinical interpretation in either direction.</w:t>
      </w:r>
    </w:p>
    <w:p>
      <w:pPr>
        <w:pStyle w:val="Heading1"/>
      </w:pPr>
      <w:r>
        <w:t>4. Discussion</w:t>
      </w:r>
    </w:p>
    <w:p>
      <w:pPr>
        <w:pStyle w:val="Heading2"/>
      </w:pPr>
      <w:r>
        <w:t>4.1 The AAPS Average paradox</w:t>
      </w:r>
    </w:p>
    <w:p>
      <w:r>
        <w:t>It is sometimes assumed that AAPS Average "smooths the current reading by averaging over the last three points". This is incorrect by inspection of the source. The Kotlin loop is</w:t>
      </w:r>
    </w:p>
    <w:p>
      <w:r>
        <w:t xml:space="preserve">In AAPS newest-first list convention, </w:t>
      </w:r>
      <w:r>
        <w:rPr>
          <w:rFonts w:ascii="Menlo" w:hAnsi="Menlo"/>
          <w:sz w:val="20"/>
        </w:rPr>
        <w:t>data[0]</w:t>
      </w:r>
      <w:r>
        <w:t xml:space="preserve"> is the newest reading and </w:t>
      </w:r>
      <w:r>
        <w:rPr>
          <w:rFonts w:ascii="Menlo" w:hAnsi="Menlo"/>
          <w:sz w:val="20"/>
        </w:rPr>
        <w:t>data[lastIndex]</w:t>
      </w:r>
      <w:r>
        <w:t xml:space="preserve"> the oldest. The loop's first iteration sets </w:t>
      </w:r>
      <w:r>
        <w:rPr>
          <w:rFonts w:ascii="Menlo" w:hAnsi="Menlo"/>
          <w:sz w:val="20"/>
        </w:rPr>
        <w:t>data[1].smoothed</w:t>
      </w:r>
      <w:r>
        <w:t xml:space="preserve"> — which is the </w:t>
      </w:r>
      <w:r>
        <w:rPr>
          <w:i/>
        </w:rPr>
        <w:t>previous</w:t>
      </w:r>
      <w:r>
        <w:t xml:space="preserve"> reading — using </w:t>
      </w:r>
      <w:r>
        <w:rPr>
          <w:rFonts w:ascii="Menlo" w:hAnsi="Menlo"/>
          <w:sz w:val="20"/>
        </w:rPr>
        <w:t>data[0]</w:t>
      </w:r>
      <w:r>
        <w:t xml:space="preserve"> (newest), </w:t>
      </w:r>
      <w:r>
        <w:rPr>
          <w:rFonts w:ascii="Menlo" w:hAnsi="Menlo"/>
          <w:sz w:val="20"/>
        </w:rPr>
        <w:t>data[1]</w:t>
      </w:r>
      <w:r>
        <w:t xml:space="preserve"> (one back), and </w:t>
      </w:r>
      <w:r>
        <w:rPr>
          <w:rFonts w:ascii="Menlo" w:hAnsi="Menlo"/>
          <w:sz w:val="20"/>
        </w:rPr>
        <w:t>data[2]</w:t>
      </w:r>
      <w:r>
        <w:t xml:space="preserve"> (two back). The newest reading itself, </w:t>
      </w:r>
      <w:r>
        <w:rPr>
          <w:rFonts w:ascii="Menlo" w:hAnsi="Menlo"/>
          <w:sz w:val="20"/>
        </w:rPr>
        <w:t>data[0]</w:t>
      </w:r>
      <w:r>
        <w:t xml:space="preserve">, is never touched. Once another reading arrives, the previously-newest </w:t>
      </w:r>
      <w:r>
        <w:rPr>
          <w:rFonts w:ascii="Menlo" w:hAnsi="Menlo"/>
          <w:sz w:val="20"/>
        </w:rPr>
        <w:t>data[0]</w:t>
      </w:r>
      <w:r>
        <w:t xml:space="preserve"> becomes </w:t>
      </w:r>
      <w:r>
        <w:rPr>
          <w:rFonts w:ascii="Menlo" w:hAnsi="Menlo"/>
          <w:sz w:val="20"/>
        </w:rPr>
        <w:t>data[1]</w:t>
      </w:r>
      <w:r>
        <w:t xml:space="preserve"> in the next call's view and </w:t>
      </w:r>
      <w:r>
        <w:rPr>
          <w:i/>
        </w:rPr>
        <w:t>then</w:t>
      </w:r>
      <w:r>
        <w:t xml:space="preserve"> gets averaged using the now-newest reading as its "future" neighbour, the previously-newest as its "current", and the previously-one-back as its "past". In other words, AAPS Average operates at a one-tick lag — it commits a smoothed value to a reading only when the next reading has arrived. The dose engine sees raw at t, smoothed at t − 1, smoothed at t − 2, and so on.</w:t>
      </w:r>
    </w:p>
    <w:p>
      <w:r>
        <w:t>This is a deliberate design: it avoids ever passing a "future-using" smoothed value into a real-time decision (because the average's three-point window inherently uses one future point relative to the smoothed centre, so smoothing the current reading would require the next-arriving reading, which does not yet exist). The smoother therefore offers two services:</w:t>
      </w:r>
    </w:p>
    <w:p>
      <w:pPr>
        <w:pStyle w:val="ListNumber"/>
      </w:pPr>
      <w:r>
        <w:rPr>
          <w:b/>
        </w:rPr>
        <w:t>Slope smoothing</w:t>
      </w:r>
      <w:r>
        <w:t xml:space="preserve"> — the AID's rate-of-change calculation can use smoothed t − 1, smoothed t − 2, etc., which reduces single-reading slope spikes.</w:t>
      </w:r>
    </w:p>
    <w:p>
      <w:pPr>
        <w:pStyle w:val="ListNumber"/>
      </w:pPr>
      <w:r>
        <w:rPr>
          <w:b/>
        </w:rPr>
        <w:t>Historical curve smoothing</w:t>
      </w:r>
      <w:r>
        <w:t xml:space="preserve"> — visualisations and other slow-loop analyses see a cleaner past curve.</w:t>
      </w:r>
    </w:p>
    <w:p>
      <w:r>
        <w:t>But it does not service the most safety-critical question: "what is the glucose right now?" That reads as raw.</w:t>
      </w:r>
    </w:p>
    <w:p>
      <w:r>
        <w:t>This is a defensible choice: smoothing the current reading necessarily delays it, and a real-time AID arguably wants a fast (raw) current value plus a clean historical view of where it has been. AAPS Exponential and the UKF take the opposite stance: they smooth the current reading too, accepting some delay in exchange for less single-reading noise driving the next bolus.</w:t>
      </w:r>
    </w:p>
    <w:p>
      <w:r>
        <w:t>We are not arguing that one stance is inherently better. The smoothed values committed to past readings still affect the AID's slope calculations and historical view of the curve; the only operational claim about AAPS Average is that the value at t itself is not modified.</w:t>
      </w:r>
    </w:p>
    <w:p>
      <w:pPr>
        <w:pStyle w:val="Heading2"/>
      </w:pPr>
      <w:r>
        <w:t>4.2 The UKF Pareto position</w:t>
      </w:r>
    </w:p>
    <w:p>
      <w:r>
        <w:t>For 18 of the 19 AAPS Exponential operating points reached in this cohort there is a UKF user with at least as much noise reduction at smaller phase-delay magnitude; on a per-user paired comparison this paired dominance holds for 14 of 19 users. The UKF therefore lies on the lower-delay side of the AAPS Exponential operating range, but the dominance is not strict per-user. This is consistent with the UKF being a more parameterised estimator that uses both the measurement and a model of glucose dynamics; the trade-off it accepts is computational cost (roughly 250 × more wall-clock per reading than AAPS Exponential in our Python implementation, though absolute cost is still small — &lt; 100 µs per reading on a modern CPU) and substantially more parameter complexity (covariance bounds, χ² thresholds, R-adaptation rates). The development-branch UKF parameterisation we used has been tuned by the AAPS development team against a separate dataset; whether the same parameterisation would remain on the lower-delay side after a re-tune for this cohort is a question for future work.</w:t>
      </w:r>
    </w:p>
    <w:p>
      <w:pPr>
        <w:pStyle w:val="Heading2"/>
      </w:pPr>
      <w:r>
        <w:t>4.3 What "online" means for outlier absorption</w:t>
      </w:r>
    </w:p>
    <w:p>
      <w:r>
        <w:t xml:space="preserve">The UKF absorbs 38 % of raw outliers at the leading edge — meaning its current-reading output for those readings is at least 50 % closer to the local trend than the raw spike value. AAPS Exponential absorbs 30 %; AAPS Average absorbs 0 % at the leading edge by construction (raw passes through). For an AID, absorbed outliers are absorbed </w:t>
      </w:r>
      <w:r>
        <w:rPr>
          <w:i/>
        </w:rPr>
        <w:t>before</w:t>
      </w:r>
      <w:r>
        <w:t xml:space="preserve"> the dose engine sees them, so they cannot trigger a single-reading dose. AAPS Exponential and the UKF therefore offer real protection against single-reading artefacts; AAPS Average does not at the operational moment, although it does prevent such artefacts from biasing the next slope calculation once the next reading arrives. Slope dampening matters because oref0's safety net (</w:t>
      </w:r>
      <w:r>
        <w:rPr>
          <w:rFonts w:ascii="Menlo" w:hAnsi="Menlo"/>
          <w:sz w:val="20"/>
        </w:rPr>
        <w:t>exercise mode</w:t>
      </w:r>
      <w:r>
        <w:t xml:space="preserve">, </w:t>
      </w:r>
      <w:r>
        <w:rPr>
          <w:rFonts w:ascii="Menlo" w:hAnsi="Menlo"/>
          <w:sz w:val="20"/>
        </w:rPr>
        <w:t>temptarget</w:t>
      </w:r>
      <w:r>
        <w:t>, etc.) ramps off fairly quickly when slope estimates decay; a single-reading 50 mg/dL spike can briefly lift the slope estimate above safety thresholds even if the dose engine handles the absolute value sensibly.</w:t>
      </w:r>
    </w:p>
    <w:p>
      <w:pPr>
        <w:pStyle w:val="Heading2"/>
      </w:pPr>
      <w:r>
        <w:t>4.4 Limitations</w:t>
      </w:r>
    </w:p>
    <w:p>
      <w:r>
        <w:t>* The cohort is 19 users, not a clinical trial. We did not have ground-truth glucose values (no blood-glucose comparator), so noise/delay statistics are purely intrinsic-to-the-stream.</w:t>
      </w:r>
    </w:p>
    <w:p>
      <w:r>
        <w:rPr>
          <w:i/>
        </w:rPr>
        <w:t xml:space="preserve"> We evaluated only the </w:t>
      </w:r>
      <w:r>
        <w:t>intrinsic* effect of each smoother on its own output. We did not run the full oref0 dose engine downstream of each smoother; we cannot say whether the SID-event-count reductions under the adaptive smoothers (≈ 75 % under AAPS Exponential, ≈ 51 % under the UKF, both relative to AAPS Average) would translate to fewer or more clinical hypo/hyper events under closed-loop control. SID v6 is itself a research-grade detection layer maintained separately from production AAPS / oref0.</w:t>
      </w:r>
    </w:p>
    <w:p>
      <w:r>
        <w:t>* The AAPS Exponential and UKF window sizes (24 and 36 readings) are taken from the upstream code; they could be tuned per user but were not.</w:t>
      </w:r>
    </w:p>
    <w:p>
      <w:r>
        <w:t>* The UKF parameterisation comes from a development branch. The algorithm has not yet shipped in a stable AAPS release at the time of writing.</w:t>
      </w:r>
    </w:p>
    <w:p>
      <w:r>
        <w:rPr>
          <w:i/>
        </w:rPr>
        <w:t xml:space="preserve"> Online sliding-window evaluation rebuilds smoother state at every reading, which differs from production where some smoothers persist learned R across calls. We followed the production AAPS choice of fresh state per call (this is what the Kotlin source does on every loop tick) so the comparison reflects what production actually executes; it is </w:t>
      </w:r>
      <w:r>
        <w:t>not* what a long-running stateful filter would look like.</w:t>
      </w:r>
    </w:p>
    <w:p>
      <w:pPr>
        <w:pStyle w:val="Heading2"/>
      </w:pPr>
      <w:r>
        <w:t>4.5 Reproducibility</w:t>
      </w:r>
    </w:p>
    <w:p>
      <w:r>
        <w:t>The full pipeline — Kotlin reference compile, Python ports, parity tests, cohort backtest, per-user metrics, cross-smoother statistics, SID re-detection — is reproducible from the repository:</w:t>
      </w:r>
    </w:p>
    <w:p>
      <w:r>
        <w:t xml:space="preserve">All Parquet traces, per-user CSVs, and figures referenced in this paper are in </w:t>
      </w:r>
      <w:r>
        <w:rPr>
          <w:rFonts w:ascii="Menlo" w:hAnsi="Menlo"/>
          <w:sz w:val="20"/>
        </w:rPr>
        <w:t>runs/</w:t>
      </w:r>
      <w:r>
        <w:t xml:space="preserve"> and </w:t>
      </w:r>
      <w:r>
        <w:rPr>
          <w:rFonts w:ascii="Menlo" w:hAnsi="Menlo"/>
          <w:sz w:val="20"/>
        </w:rPr>
        <w:t>reports/</w:t>
      </w:r>
      <w:r>
        <w:t>.</w:t>
      </w:r>
    </w:p>
    <w:p>
      <w:pPr>
        <w:pStyle w:val="Heading1"/>
      </w:pPr>
      <w:r>
        <w:t>5. Conclusion</w:t>
      </w:r>
    </w:p>
    <w:p>
      <w:r>
        <w:t>The signal-level evidence from this 19-user, 90-day production-realistic evaluation supports adding the Adaptive UKF to AAPS and Trio as a user-selectable alternative to AAPS Exponential.</w:t>
      </w:r>
    </w:p>
    <w:p>
      <w:r>
        <w:t>The UKF reduces step-to-step noise by 18% at a phase delay of 0.85 minutes. AAPS Exponential reduces noise by 16% at 1.7 minutes of phase delay — roughly twice the lag at slightly less noise reduction. The UKF preserves 96.6% of raw low-glucose events at the leading edge versus 92.9% for AAPS Exponential, absorbs 38% of large single-reading outliers versus 30%, and on a per-user paired comparison achieves at least as much noise reduction at smaller phase delay for 14 of 19 users. Its RTS backward sweep contributes nothing to the current-reading value the dose engine acts on (RTS by construction does not modify the leading edge); its effect is on the historical curve. Neither adaptive smoother dampens real multi-hour glucose dynamics (signal-band attenuation ≈ 1.03 for both, consistent with no real-trend suppression).</w:t>
      </w:r>
    </w:p>
    <w:p>
      <w:r>
        <w:t>The one metric where AAPS Exponential outperforms the UKF — sensor-integrity alert count (1 259 versus 2 416) — is a consequence of AAPS Exponential's larger phase lag causing the smoothed trace to follow genuine glucose excursions more loosely, which reduces how often a sustained deviation triggers an alert. Whether this means fewer false alarms or more missed real problems depends on ground-truth labels not available in this dataset. It does not, by itself, argue against the UKF.</w:t>
      </w:r>
    </w:p>
    <w:p>
      <w:r>
        <w:t>AAPS Average is a no-op at the current reading at decision time and is not a meaningful alternative to the adaptive smoothers for the dose-engine glucose value; its role is cleaning the historical curve and damping slope calculations.</w:t>
      </w:r>
    </w:p>
    <w:p>
      <w:r>
        <w:t>The appropriate next step is to run the full oref0 dose engine downstream of each smoother on this cohort and compare the resulting insulin delivery decisions. Signal metrics are plausible proxies for clinical relevance; dose-level comparison is the direct test. The UKF parameter set should be finalised before a stable release. The full pipeline is reproducible from the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