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195fb8b76474f3e0cb1e9088a9c04b091f16ed5"/>
    <w:p>
      <w:pPr>
        <w:pStyle w:val="Heading1"/>
      </w:pPr>
      <w:r>
        <w:t xml:space="preserve">Is the Adaptive UKF Worth Adding to AAPS and Trio? A Production-Realistic Cohort Evaluation</w:t>
      </w:r>
    </w:p>
    <w:p>
      <w:pPr>
        <w:pStyle w:val="FirstParagraph"/>
      </w:pPr>
      <w:r>
        <w:rPr>
          <w:i/>
          <w:iCs/>
        </w:rPr>
        <w:t xml:space="preserve">Signal-level evaluation of three CGM smoothing algorithms in oref0-derived AID systems, run as production calls them — a fresh sliding-window calculation at every loop tick — asking whether the UKF’s characteristics justify shipping it as an alternative to AAPS Exponential.</w:t>
      </w:r>
    </w:p>
    <w:p>
      <w:r>
        <w:pict>
          <v:rect style="width:0;height:1.5pt" o:hralign="center" o:hrstd="t" o:hr="t"/>
        </w:pict>
      </w:r>
    </w:p>
    <w:bookmarkStart w:id="9" w:name="abstract"/>
    <w:p>
      <w:pPr>
        <w:pStyle w:val="Heading2"/>
      </w:pPr>
      <w:r>
        <w:t xml:space="preserve">Abstract</w:t>
      </w:r>
    </w:p>
    <w:p>
      <w:pPr>
        <w:pStyle w:val="FirstParagraph"/>
      </w:pPr>
      <w:r>
        <w:t xml:space="preserve">The Adaptive Unscented Kalman Filter (UKF) with Rauch–Tung–Striebel (RTS) backward sweep is currently in an AAPS development branch and has not shipped in a stable AAPS or Trio release. This paper asks whether the signal-level evidence supports adding it. We re-implemented the UKF alongside the two production smoothers — the AAPS three-point central-window average (</w:t>
      </w:r>
      <w:r>
        <w:rPr>
          <w:rStyle w:val="VerbatimChar"/>
        </w:rPr>
        <w:t xml:space="preserve">AvgSmoothingPlugin</w:t>
      </w:r>
      <w:r>
        <w:t xml:space="preserve">) and the AAPS dual-order exponential (</w:t>
      </w:r>
      <w:r>
        <w:rPr>
          <w:rStyle w:val="VerbatimChar"/>
        </w:rPr>
        <w:t xml:space="preserve">ExponentialSmoothingPlugin</w:t>
      </w:r>
      <w:r>
        <w:t xml:space="preserve">, TSUNAMI) — validated each Python port against the upstream Kotlin source to bit-exactness or sub-mg/dL tolerance, and ran all three across a 19-user, 90-day cohort in</w:t>
      </w:r>
      <w:r>
        <w:t xml:space="preserve"> </w:t>
      </w:r>
      <w:r>
        <w:rPr>
          <w:i/>
          <w:iCs/>
        </w:rPr>
        <w:t xml:space="preserve">online sliding-window mode</w:t>
      </w:r>
      <w:r>
        <w:t xml:space="preserve">: at every chronological reading t the smoother is asked the value the AID dose engine would see at decision time t.</w:t>
      </w:r>
    </w:p>
    <w:p>
      <w:pPr>
        <w:pStyle w:val="BodyText"/>
      </w:pPr>
      <w:r>
        <w:t xml:space="preserve">On every metric where AAPS Exponential improves on raw, the UKF improves further. It reduces step-to-step noise by 18% (versus 16% for AAPS Exponential) with a phase delay of 0.85 minutes (versus 1.7 minutes — roughly half the lag). It preserves 96.6% of raw low-glucose events at the leading edge versus 92.9% for AAPS Exponential, absorbs 38% of large single-reading outliers versus 30%, and on a per-user paired comparison achieves at least as much noise reduction at smaller phase delay for 14 of 19 users. Neither adaptive smoother dampens real multi-hour glucose dynamics. The one metric where AAPS Exponential outperforms the UKF is sensor-integrity alert count (1,711 versus 3,263), a consequence of AAPS Exponential’s larger lag making the smoothed trace less sensitive to genuine glucose excursions — whether this represents fewer false alarms or more missed real sensor problems cannot be determined without ground-truth labels.</w:t>
      </w:r>
    </w:p>
    <w:p>
      <w:pPr>
        <w:pStyle w:val="BodyText"/>
      </w:pPr>
      <w:r>
        <w:t xml:space="preserve">AAPS Average produces a smoothed leading-edge value for neither the current reading nor recent readings in time for the current dose decision; the dose engine reads raw at decision time. Its role is in cleaning the historical curve and damping the slope calculation.</w:t>
      </w:r>
    </w:p>
    <w:p>
      <w:pPr>
        <w:pStyle w:val="BodyText"/>
      </w:pPr>
      <w:r>
        <w:t xml:space="preserve">Subject to the caveat that no clinical outcome data is available and the UKF parameter set is not yet finalised, the signal-level evidence supports shipping the UKF as a user-selectable alternative to AAPS Exponential in AAPS and Trio. The appropriate next step is to run the full oref0 dose engine downstream of each smoother and compare the resulting insulin delivery decisions.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pPr>
        <w:pStyle w:val="Compact"/>
        <w:numPr>
          <w:ilvl w:val="0"/>
          <w:numId w:val="1001"/>
        </w:numPr>
      </w:pPr>
      <w:r>
        <w:rPr>
          <w:b/>
          <w:bCs/>
        </w:rPr>
        <w:t xml:space="preserve">AAPS Average</w:t>
      </w:r>
      <w:r>
        <w:t xml:space="preserve"> </w:t>
      </w:r>
      <w:r>
        <w:t xml:space="preserve">— a simple three-point central-window mean, gated by in-range checks (39–401 mg/dL) and timing checks (samples ≤ 30 s off the regular five-minute spacing).</w:t>
      </w:r>
    </w:p>
    <w:p>
      <w:pPr>
        <w:pStyle w:val="Compact"/>
        <w:numPr>
          <w:ilvl w:val="0"/>
          <w:numId w:val="1001"/>
        </w:numPr>
      </w:pPr>
      <w:r>
        <w:rPr>
          <w:b/>
          <w:bCs/>
        </w:rPr>
        <w:t xml:space="preserve">AAPS Exponential / TSUNAMI</w:t>
      </w:r>
      <w:r>
        <w:t xml:space="preserve"> </w:t>
      </w:r>
      <w:r>
        <w:t xml:space="preserve">— a dual-order exponential blend, with a first-order EMA (α = 0.5) blended at weight 0.4 with a second-order trended EMA (α = 0.4, β = 1.0) over a 24-reading (≈ 2-hour) window.</w:t>
      </w:r>
    </w:p>
    <w:p>
      <w:pPr>
        <w:pStyle w:val="Compact"/>
        <w:numPr>
          <w:ilvl w:val="0"/>
          <w:numId w:val="1001"/>
        </w:numPr>
      </w:pPr>
      <w:r>
        <w:rPr>
          <w:b/>
          <w:bCs/>
        </w:rPr>
        <w:t xml:space="preserve">Adaptive UKF</w:t>
      </w:r>
      <w:r>
        <w:t xml:space="preserve"> </w:t>
      </w:r>
      <w:r>
        <w:t xml:space="preserve">—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pPr>
        <w:pStyle w:val="FirstParagraph"/>
      </w:pPr>
      <w:r>
        <w:t xml:space="preserve">Production AAPS instantiates a fresh smoother on every loop tick (every five minutes). AAPS Average is fed the trailing reading history and acts on a three-point window centred on each interior position; AAPS Exponential is fed the trailing 24 readings and runs its dual-EMA across them; the UKF window in the development branch is configurable in the 24–48 reading range (≈ 2–4 hours), and we used 36 readings here. The dose engine then reads the smoothed value the algorithm produces for the newest reading in that window and uses that as its</w:t>
      </w:r>
      <w:r>
        <w:t xml:space="preserve"> </w:t>
      </w:r>
      <w:r>
        <w:t xml:space="preserve">“current glucose”</w:t>
      </w:r>
      <w:r>
        <w:t xml:space="preserve">. The operationally relevant output is therefore the leading-edge value of each sliding-window call.</w:t>
      </w:r>
    </w:p>
    <w:p>
      <w:pPr>
        <w:pStyle w:val="BodyText"/>
      </w:pPr>
      <w:r>
        <w:t xml:space="preserve">This distinction matters most for AAPS Average. The Kotlin source (</w:t>
      </w:r>
      <w:r>
        <w:rPr>
          <w:rStyle w:val="VerbatimChar"/>
        </w:rPr>
        <w:t xml:space="preserve">AvgSmoothingPlugin.smooth</w:t>
      </w:r>
      <w:r>
        <w:t xml:space="preserve">) iterates</w:t>
      </w:r>
      <w:r>
        <w:t xml:space="preserve"> </w:t>
      </w:r>
      <w:r>
        <w:rPr>
          <w:rStyle w:val="VerbatimChar"/>
        </w:rPr>
        <w:t xml:space="preserve">for (i in 1 until data.size - 1)</w:t>
      </w:r>
      <w:r>
        <w:t xml:space="preserve"> </w:t>
      </w:r>
      <w:r>
        <w:t xml:space="preserve">and writes</w:t>
      </w:r>
      <w:r>
        <w:t xml:space="preserve"> </w:t>
      </w:r>
      <w:r>
        <w:rPr>
          <w:rStyle w:val="VerbatimChar"/>
        </w:rPr>
        <w:t xml:space="preserve">data[i].smoothed</w:t>
      </w:r>
      <w:r>
        <w:t xml:space="preserve"> </w:t>
      </w:r>
      <w:r>
        <w:t xml:space="preserve">only for interior positions, leaving</w:t>
      </w:r>
      <w:r>
        <w:t xml:space="preserve"> </w:t>
      </w:r>
      <w:r>
        <w:rPr>
          <w:rStyle w:val="VerbatimChar"/>
        </w:rPr>
        <w:t xml:space="preserve">data[0].smoothed</w:t>
      </w:r>
      <w:r>
        <w:t xml:space="preserve"> </w:t>
      </w:r>
      <w:r>
        <w:t xml:space="preserve">(the newest reading in newest-first AAPS list convention) unset. The dose engine reads</w:t>
      </w:r>
      <w:r>
        <w:t xml:space="preserve"> </w:t>
      </w:r>
      <w:r>
        <w:rPr>
          <w:rStyle w:val="VerbatimChar"/>
        </w:rPr>
        <w:t xml:space="preserve">data[0].smoothed</w:t>
      </w:r>
      <w:r>
        <w:t xml:space="preserve"> </w:t>
      </w:r>
      <w:r>
        <w:t xml:space="preserve">and falls back to</w:t>
      </w:r>
      <w:r>
        <w:t xml:space="preserve"> </w:t>
      </w:r>
      <w:r>
        <w:rPr>
          <w:rStyle w:val="VerbatimChar"/>
        </w:rPr>
        <w:t xml:space="preserve">data[0].value</w:t>
      </w:r>
      <w:r>
        <w:t xml:space="preserve"> </w:t>
      </w:r>
      <w:r>
        <w:t xml:space="preserve">(the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w:t>
      </w:r>
      <w:r>
        <w:t xml:space="preserve"> </w:t>
      </w:r>
      <w:r>
        <w:t xml:space="preserve">“now”</w:t>
      </w:r>
      <w:r>
        <w:t xml:space="preserve"> </w:t>
      </w:r>
      <w:r>
        <w:t xml:space="preserve">and</w:t>
      </w:r>
      <w:r>
        <w:t xml:space="preserve"> </w:t>
      </w:r>
      <w:r>
        <w:t xml:space="preserve">“five minutes ago”</w:t>
      </w:r>
      <w:r>
        <w:t xml:space="preserve"> </w:t>
      </w:r>
      <w:r>
        <w:t xml:space="preserve">reads</w:t>
      </w:r>
      <w:r>
        <w:t xml:space="preserve"> </w:t>
      </w:r>
      <w:r>
        <w:rPr>
          <w:rStyle w:val="VerbatimChar"/>
        </w:rPr>
        <w:t xml:space="preserve">raw(t) − smoothed(t − 1)</w:t>
      </w:r>
      <w:r>
        <w:t xml:space="preserve"> </w:t>
      </w:r>
      <w:r>
        <w:t xml:space="preserve">rather than</w:t>
      </w:r>
      <w:r>
        <w:t xml:space="preserve"> </w:t>
      </w:r>
      <w:r>
        <w:rPr>
          <w:rStyle w:val="VerbatimChar"/>
        </w:rPr>
        <w:t xml:space="preserve">raw(t) − raw(t − 1)</w:t>
      </w:r>
      <w:r>
        <w:t xml:space="preserve">. The rate delta into t is therefore modified even though the value at t itself is not — a single-reading spike at t − 1 that would otherwise distort the slope is dampened by the time the AID computes that slope at t.</w:t>
      </w:r>
    </w:p>
    <w:p>
      <w:pPr>
        <w:pStyle w:val="BodyText"/>
      </w:pPr>
      <w:r>
        <w:t xml:space="preserve">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pPr>
        <w:pStyle w:val="BodyText"/>
      </w:pPr>
      <w:r>
        <w:t xml:space="preserve">This paper reports the cohort-wide statistics of each smoother under the production-realistic online evaluation.</w:t>
      </w:r>
    </w:p>
    <w:bookmarkEnd w:id="10"/>
    <w:bookmarkStart w:id="16" w:name="methods"/>
    <w:p>
      <w:pPr>
        <w:pStyle w:val="Heading2"/>
      </w:pPr>
      <w:r>
        <w:t xml:space="preserve">2. Methods</w:t>
      </w:r>
    </w:p>
    <w:bookmarkStart w:id="11" w:name="X37c8f1b49a62a1dbb314f00b69aab43e1a1b8f2"/>
    <w:p>
      <w:pPr>
        <w:pStyle w:val="Heading3"/>
      </w:pPr>
      <w:r>
        <w:t xml:space="preserve">2.1 Reference implementations and parity testing</w:t>
      </w:r>
    </w:p>
    <w:p>
      <w:pPr>
        <w:pStyle w:val="FirstParagraph"/>
      </w:pPr>
      <w:r>
        <w:t xml:space="preserve">We obtained the upstream AAPS Kotlin source (</w:t>
      </w:r>
      <w:r>
        <w:rPr>
          <w:rStyle w:val="VerbatimChar"/>
        </w:rPr>
        <w:t xml:space="preserve">AvgSmoothingPlugin.kt</w:t>
      </w:r>
      <w:r>
        <w:t xml:space="preserve">,</w:t>
      </w:r>
      <w:r>
        <w:t xml:space="preserve"> </w:t>
      </w:r>
      <w:r>
        <w:rPr>
          <w:rStyle w:val="VerbatimChar"/>
        </w:rPr>
        <w:t xml:space="preserve">ExponentialSmoothingPlugin.kt</w:t>
      </w:r>
      <w:r>
        <w:t xml:space="preserve">) and a development branch implementation of the adaptive UKF (</w:t>
      </w:r>
      <w:r>
        <w:rPr>
          <w:rStyle w:val="VerbatimChar"/>
        </w:rPr>
        <w:t xml:space="preserve">UnscentedKalmanFilterPlugin.kt</w:t>
      </w:r>
      <w:r>
        <w:t xml:space="preserve">)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pPr>
        <w:pStyle w:val="BodyText"/>
      </w:pPr>
      <w:r>
        <w:t xml:space="preserve">We then ported each algorithm to Python and validated it against the Kotlin reference on three fixtures: a synthetic step input, a sinusoid, and a 24-hour real-data slice from the cohort. Tolerances:</w:t>
      </w:r>
    </w:p>
    <w:p>
      <w:pPr>
        <w:pStyle w:val="Compact"/>
        <w:numPr>
          <w:ilvl w:val="0"/>
          <w:numId w:val="1002"/>
        </w:numPr>
      </w:pPr>
      <w:r>
        <w:t xml:space="preserve">AAPS Average — bit-exact (max |Δ| = 0.0 mg/dL), in both batch and online modes.</w:t>
      </w:r>
    </w:p>
    <w:p>
      <w:pPr>
        <w:pStyle w:val="Compact"/>
        <w:numPr>
          <w:ilvl w:val="0"/>
          <w:numId w:val="1002"/>
        </w:numPr>
      </w:pPr>
      <w:r>
        <w:t xml:space="preserve">AAPS Exponential — bit-exact in online sliding-window mode (max |Δ| = 0.0 mg/dL); the algorithm applies</w:t>
      </w:r>
      <w:r>
        <w:t xml:space="preserve"> </w:t>
      </w:r>
      <w:r>
        <w:rPr>
          <w:rStyle w:val="VerbatimChar"/>
        </w:rPr>
        <w:t xml:space="preserve">max(round(...), 39.0)</w:t>
      </w:r>
      <w:r>
        <w:t xml:space="preserve"> </w:t>
      </w:r>
      <w:r>
        <w:t xml:space="preserve">as a final step, which makes integer parity achievable across language boundaries.</w:t>
      </w:r>
    </w:p>
    <w:p>
      <w:pPr>
        <w:pStyle w:val="Compact"/>
        <w:numPr>
          <w:ilvl w:val="0"/>
          <w:numId w:val="1002"/>
        </w:numPr>
      </w:pPr>
      <w:r>
        <w:t xml:space="preserve">UKF — within 0.5 mg/dL absolute on output and 1e-3 on covariance entries; the gap arises from floating-point order-of-summation differences in the sigma-point math.</w:t>
      </w:r>
    </w:p>
    <w:p>
      <w:pPr>
        <w:pStyle w:val="FirstParagraph"/>
      </w:pPr>
      <w:r>
        <w:t xml:space="preserve">All 15 parity tests pass before any cohort run.</w:t>
      </w:r>
    </w:p>
    <w:bookmarkEnd w:id="11"/>
    <w:bookmarkStart w:id="12" w:name="cohort-selection"/>
    <w:p>
      <w:pPr>
        <w:pStyle w:val="Heading3"/>
      </w:pPr>
      <w:r>
        <w:t xml:space="preserve">2.2 Cohort selection</w:t>
      </w:r>
    </w:p>
    <w:p>
      <w:pPr>
        <w:pStyle w:val="FirstParagraph"/>
      </w:pPr>
      <w:r>
        <w:t xml:space="preserve">The cohort consists of 19 users selected from a research database of oref0-style closed-loop sessions. Three source tables (</w:t>
      </w:r>
      <w:r>
        <w:rPr>
          <w:rStyle w:val="VerbatimChar"/>
        </w:rPr>
        <w:t xml:space="preserve">oref_v5</w:t>
      </w:r>
      <w:r>
        <w:t xml:space="preserve">,</w:t>
      </w:r>
      <w:r>
        <w:t xml:space="preserve"> </w:t>
      </w:r>
      <w:r>
        <w:rPr>
          <w:rStyle w:val="VerbatimChar"/>
        </w:rPr>
        <w:t xml:space="preserve">oref_v6</w:t>
      </w:r>
      <w:r>
        <w:t xml:space="preserve">,</w:t>
      </w:r>
      <w:r>
        <w:t xml:space="preserve"> </w:t>
      </w:r>
      <w:r>
        <w:rPr>
          <w:rStyle w:val="VerbatimChar"/>
        </w:rPr>
        <w:t xml:space="preserve">oref_v7</w:t>
      </w:r>
      <w:r>
        <w:t xml:space="preserve">)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Style w:val="VerbatimChar"/>
        </w:rPr>
        <w:t xml:space="preserve">backtest.io.load_user</w:t>
      </w:r>
      <w:r>
        <w:t xml:space="preserve">).</w:t>
      </w:r>
    </w:p>
    <w:bookmarkEnd w:id="12"/>
    <w:bookmarkStart w:id="13" w:name="online-sliding-window-evaluation"/>
    <w:p>
      <w:pPr>
        <w:pStyle w:val="Heading3"/>
      </w:pPr>
      <w:r>
        <w:t xml:space="preserve">2.3 Online sliding-window evaluation</w:t>
      </w:r>
    </w:p>
    <w:p>
      <w:pPr>
        <w:pStyle w:val="FirstParagraph"/>
      </w:pPr>
      <w:r>
        <w:t xml:space="preserve">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bookmarkEnd w:id="13"/>
    <w:bookmarkStart w:id="14" w:name="per-user-metrics"/>
    <w:p>
      <w:pPr>
        <w:pStyle w:val="Heading3"/>
      </w:pPr>
      <w:r>
        <w:t xml:space="preserve">2.4 Per-user metrics</w:t>
      </w:r>
    </w:p>
    <w:p>
      <w:pPr>
        <w:pStyle w:val="FirstParagraph"/>
      </w:pPr>
      <w:r>
        <w:t xml:space="preserve">For each (user, algorithm) trace we computed the following metrics, producing one row per pair in</w:t>
      </w:r>
      <w:r>
        <w:t xml:space="preserve"> </w:t>
      </w:r>
      <w:r>
        <w:rPr>
          <w:rStyle w:val="VerbatimChar"/>
        </w:rPr>
        <w:t xml:space="preserve">reports/per_user_metrics.csv</w:t>
      </w:r>
      <w:r>
        <w:t xml:space="preserve">. Exact definitions are in</w:t>
      </w:r>
      <w:r>
        <w:t xml:space="preserve"> </w:t>
      </w:r>
      <w:r>
        <w:rPr>
          <w:rStyle w:val="VerbatimChar"/>
        </w:rPr>
        <w:t xml:space="preserve">backtest/metrics.py</w:t>
      </w:r>
      <w:r>
        <w:t xml:space="preserve">.</w:t>
      </w:r>
    </w:p>
    <w:p>
      <w:pPr>
        <w:pStyle w:val="Compact"/>
        <w:numPr>
          <w:ilvl w:val="0"/>
          <w:numId w:val="1003"/>
        </w:numPr>
      </w:pPr>
      <w:r>
        <w:rPr>
          <w:b/>
          <w:bCs/>
        </w:rPr>
        <w:t xml:space="preserve">Cross-correlation lag</w:t>
      </w:r>
      <w:r>
        <w:t xml:space="preserve"> </w:t>
      </w:r>
      <w:r>
        <w:t xml:space="preserve">(</w:t>
      </w:r>
      <w:r>
        <w:rPr>
          <w:rStyle w:val="VerbatimChar"/>
        </w:rPr>
        <w:t xml:space="preserve">xcorr_lag_min</w:t>
      </w:r>
      <w:r>
        <w:t xml:space="preserve">) — argmax of the cross-correlation between raw and smoothed (with sub-sample parabolic interpolation around the peak), in minutes; a positive value means the smoothed series lags the raw. Search bounded to ± 60 min.</w:t>
      </w:r>
    </w:p>
    <w:p>
      <w:pPr>
        <w:pStyle w:val="Compact"/>
        <w:numPr>
          <w:ilvl w:val="0"/>
          <w:numId w:val="1003"/>
        </w:numPr>
      </w:pPr>
      <w:r>
        <w:rPr>
          <w:b/>
          <w:bCs/>
        </w:rPr>
        <w:t xml:space="preserve">Step-response delay</w:t>
      </w:r>
      <w:r>
        <w:t xml:space="preserve"> </w:t>
      </w:r>
      <w:r>
        <w:t xml:space="preserve">(</w:t>
      </w:r>
      <w:r>
        <w:rPr>
          <w:rStyle w:val="VerbatimChar"/>
        </w:rPr>
        <w:t xml:space="preserve">step_response_median_delay_min</w:t>
      </w:r>
      <w:r>
        <w:t xml:space="preserve">)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pPr>
        <w:pStyle w:val="Compact"/>
        <w:numPr>
          <w:ilvl w:val="0"/>
          <w:numId w:val="1003"/>
        </w:numPr>
      </w:pPr>
      <w:r>
        <w:rPr>
          <w:b/>
          <w:bCs/>
        </w:rPr>
        <w:t xml:space="preserve">Phase-shift delay</w:t>
      </w:r>
      <w:r>
        <w:t xml:space="preserve"> </w:t>
      </w:r>
      <w:r>
        <w:t xml:space="preserve">(</w:t>
      </w:r>
      <w:r>
        <w:rPr>
          <w:rStyle w:val="VerbatimChar"/>
        </w:rPr>
        <w:t xml:space="preserve">phase_shift_delay_min</w:t>
      </w:r>
      <w:r>
        <w:t xml:space="preserve">) — median Hilbert-phase difference between band-pass-filtered (1–6 hour cycle) raw and smoothed series, scaled at the band centre frequency (3-hour cycle) and expressed in minutes.</w:t>
      </w:r>
    </w:p>
    <w:p>
      <w:pPr>
        <w:pStyle w:val="Compact"/>
        <w:numPr>
          <w:ilvl w:val="0"/>
          <w:numId w:val="1003"/>
        </w:numPr>
      </w:pPr>
      <w:r>
        <w:rPr>
          <w:b/>
          <w:bCs/>
        </w:rPr>
        <w:t xml:space="preserve">Noise reduction ratio</w:t>
      </w:r>
      <w:r>
        <w:t xml:space="preserve"> </w:t>
      </w:r>
      <w:r>
        <w:t xml:space="preserve">(</w:t>
      </w:r>
      <w:r>
        <w:rPr>
          <w:rStyle w:val="VerbatimChar"/>
        </w:rPr>
        <w:t xml:space="preserve">noise_reduction_ratio</w:t>
      </w:r>
      <w:r>
        <w:t xml:space="preserve">) — variance ratio of the first differences of the two series:</w:t>
      </w:r>
      <w:r>
        <w:t xml:space="preserve"> </w:t>
      </w:r>
      <w:r>
        <w:rPr>
          <w:rStyle w:val="VerbatimChar"/>
        </w:rPr>
        <w:t xml:space="preserve">var(diff(smoothed)) / var(diff(raw))</w:t>
      </w:r>
      <w:r>
        <w:t xml:space="preserve">. First-difference variance is dominated by 5-minute step-to-step changes, which are the high-frequency content. A ratio &lt; 1 means the smoother reduces step-to-step noise.</w:t>
      </w:r>
    </w:p>
    <w:p>
      <w:pPr>
        <w:pStyle w:val="Compact"/>
        <w:numPr>
          <w:ilvl w:val="0"/>
          <w:numId w:val="1003"/>
        </w:numPr>
      </w:pPr>
      <w:r>
        <w:rPr>
          <w:b/>
          <w:bCs/>
        </w:rPr>
        <w:t xml:space="preserve">Attenuation in the signal band</w:t>
      </w:r>
      <w:r>
        <w:t xml:space="preserve"> </w:t>
      </w:r>
      <w:r>
        <w:t xml:space="preserve">(</w:t>
      </w:r>
      <w:r>
        <w:rPr>
          <w:rStyle w:val="VerbatimChar"/>
        </w:rPr>
        <w:t xml:space="preserve">attenuation_signal_band</w:t>
      </w:r>
      <w:r>
        <w:t xml:space="preserve">) — power-spectral-density ratio in the 1–6 hour cycle band (where physiological glucose dynamics live). 1.0 = no attenuation, &lt; 1 = real signal dampened.</w:t>
      </w:r>
    </w:p>
    <w:p>
      <w:pPr>
        <w:pStyle w:val="Compact"/>
        <w:numPr>
          <w:ilvl w:val="0"/>
          <w:numId w:val="1003"/>
        </w:numPr>
      </w:pPr>
      <w:r>
        <w:rPr>
          <w:b/>
          <w:bCs/>
        </w:rPr>
        <w:t xml:space="preserve">Hypoglycaemia preservation</w:t>
      </w:r>
      <w:r>
        <w:t xml:space="preserve"> </w:t>
      </w:r>
      <w:r>
        <w:t xml:space="preserve">(</w:t>
      </w:r>
      <w:r>
        <w:rPr>
          <w:rStyle w:val="VerbatimChar"/>
        </w:rPr>
        <w:t xml:space="preserve">hypo_preserved_pct</w:t>
      </w:r>
      <w:r>
        <w:t xml:space="preserve">) — percentage of independent &lt; 70 mg/dL events in the raw (separated by ≥ 60 min of in-range glucose) that the smoothed series also dips below 70 mg/dL on within the same event window.</w:t>
      </w:r>
    </w:p>
    <w:p>
      <w:pPr>
        <w:pStyle w:val="Compact"/>
        <w:numPr>
          <w:ilvl w:val="0"/>
          <w:numId w:val="1003"/>
        </w:numPr>
      </w:pPr>
      <w:r>
        <w:rPr>
          <w:b/>
          <w:bCs/>
        </w:rPr>
        <w:t xml:space="preserve">Hypo amplitude delta</w:t>
      </w:r>
      <w:r>
        <w:t xml:space="preserve"> </w:t>
      </w:r>
      <w:r>
        <w:t xml:space="preserve">(</w:t>
      </w:r>
      <w:r>
        <w:rPr>
          <w:rStyle w:val="VerbatimChar"/>
        </w:rPr>
        <w:t xml:space="preserve">hypo_amp_delta</w:t>
      </w:r>
      <w:r>
        <w:t xml:space="preserve">) — median (smoothed nadir − raw nadir) across preserved hypo events.</w:t>
      </w:r>
    </w:p>
    <w:p>
      <w:pPr>
        <w:pStyle w:val="Compact"/>
        <w:numPr>
          <w:ilvl w:val="0"/>
          <w:numId w:val="1003"/>
        </w:numPr>
      </w:pPr>
      <w:r>
        <w:rPr>
          <w:b/>
          <w:bCs/>
        </w:rPr>
        <w:t xml:space="preserve">Peak preservation</w:t>
      </w:r>
      <w:r>
        <w:t xml:space="preserve"> </w:t>
      </w:r>
      <w:r>
        <w:t xml:space="preserve">(</w:t>
      </w:r>
      <w:r>
        <w:rPr>
          <w:rStyle w:val="VerbatimChar"/>
        </w:rPr>
        <w:t xml:space="preserve">peak_preserved_pct</w:t>
      </w:r>
      <w:r>
        <w:t xml:space="preserve">) — same as hypo, but for &gt; 180 mg/dL excursions.</w:t>
      </w:r>
    </w:p>
    <w:p>
      <w:pPr>
        <w:pStyle w:val="Compact"/>
        <w:numPr>
          <w:ilvl w:val="0"/>
          <w:numId w:val="1003"/>
        </w:numPr>
      </w:pPr>
      <w:r>
        <w:rPr>
          <w:b/>
          <w:bCs/>
        </w:rPr>
        <w:t xml:space="preserve">Outlier absorption</w:t>
      </w:r>
      <w:r>
        <w:t xml:space="preserve"> </w:t>
      </w:r>
      <w:r>
        <w:t xml:space="preserve">(</w:t>
      </w:r>
      <w:r>
        <w:rPr>
          <w:rStyle w:val="VerbatimChar"/>
        </w:rPr>
        <w:t xml:space="preserve">outlier_absorbed_pct</w:t>
      </w:r>
      <w:r>
        <w:t xml:space="preserve">) — percentage of single-step (one-grid-step, i.e. 5-minute) raw changes ≥ 40 mg/dL that the smoothed series does not also exhibit at the same step (i.e. the smoothed first-difference at that step falls below 40 mg/dL).</w:t>
      </w:r>
    </w:p>
    <w:p>
      <w:pPr>
        <w:pStyle w:val="FirstParagraph"/>
      </w:pPr>
      <w:r>
        <w:t xml:space="preserve">We also produced spectrum-domain transfer-function estimates and per-step modification deltas (the change a smoother applies relative to the raw input, broken down into predict / update / RTS components for the UKF).</w:t>
      </w:r>
    </w:p>
    <w:bookmarkEnd w:id="14"/>
    <w:bookmarkStart w:id="15" w:name="cross-smoother-statistics"/>
    <w:p>
      <w:pPr>
        <w:pStyle w:val="Heading3"/>
      </w:pPr>
      <w:r>
        <w:t xml:space="preserve">2.5 Cross-smoother statistics</w:t>
      </w:r>
    </w:p>
    <w:p>
      <w:pPr>
        <w:pStyle w:val="FirstParagraph"/>
      </w:pPr>
      <w:r>
        <w:t xml:space="preserve">We compared smoothers pairwise on each metric using the paired Wilcoxon signed-rank test (the smoothers see the same input per user, so users are matched units), with Holm-corrected p-values across the three pairs of smoothers (</w:t>
      </w:r>
      <w:r>
        <w:rPr>
          <w:rStyle w:val="VerbatimChar"/>
        </w:rPr>
        <w:t xml:space="preserve">aaps_average</w:t>
      </w:r>
      <w:r>
        <w:t xml:space="preserve"> </w:t>
      </w:r>
      <w:r>
        <w:t xml:space="preserve">vs</w:t>
      </w:r>
      <w:r>
        <w:t xml:space="preserve"> </w:t>
      </w:r>
      <w:r>
        <w:rPr>
          <w:rStyle w:val="VerbatimChar"/>
        </w:rPr>
        <w:t xml:space="preserve">aaps_exponential</w:t>
      </w:r>
      <w:r>
        <w:t xml:space="preserve">,</w:t>
      </w:r>
      <w:r>
        <w:t xml:space="preserve"> </w:t>
      </w:r>
      <w:r>
        <w:rPr>
          <w:rStyle w:val="VerbatimChar"/>
        </w:rPr>
        <w:t xml:space="preserve">aaps_average</w:t>
      </w:r>
      <w:r>
        <w:t xml:space="preserve"> </w:t>
      </w:r>
      <w:r>
        <w:t xml:space="preserve">vs</w:t>
      </w:r>
      <w:r>
        <w:t xml:space="preserve"> </w:t>
      </w:r>
      <w:r>
        <w:rPr>
          <w:rStyle w:val="VerbatimChar"/>
        </w:rPr>
        <w:t xml:space="preserve">ukf</w:t>
      </w:r>
      <w:r>
        <w:t xml:space="preserve">,</w:t>
      </w:r>
      <w:r>
        <w:t xml:space="preserve"> </w:t>
      </w:r>
      <w:r>
        <w:rPr>
          <w:rStyle w:val="VerbatimChar"/>
        </w:rPr>
        <w:t xml:space="preserve">aaps_exponential</w:t>
      </w:r>
      <w:r>
        <w:t xml:space="preserve"> </w:t>
      </w:r>
      <w:r>
        <w:t xml:space="preserve">vs</w:t>
      </w:r>
      <w:r>
        <w:t xml:space="preserve"> </w:t>
      </w:r>
      <w:r>
        <w:rPr>
          <w:rStyle w:val="VerbatimChar"/>
        </w:rPr>
        <w:t xml:space="preserve">ukf</w:t>
      </w:r>
      <w:r>
        <w:t xml:space="preserve">).</w:t>
      </w:r>
    </w:p>
    <w:bookmarkEnd w:id="15"/>
    <w:bookmarkEnd w:id="16"/>
    <w:bookmarkStart w:id="23" w:name="results"/>
    <w:p>
      <w:pPr>
        <w:pStyle w:val="Heading2"/>
      </w:pPr>
      <w:r>
        <w:t xml:space="preserve">3. Results</w:t>
      </w:r>
    </w:p>
    <w:bookmarkStart w:id="17" w:name="operational-summary-by-algorithm"/>
    <w:p>
      <w:pPr>
        <w:pStyle w:val="Heading3"/>
      </w:pPr>
      <w:r>
        <w:t xml:space="preserve">3.1 Operational summary by algorithm</w:t>
      </w:r>
    </w:p>
    <w:p>
      <w:pPr>
        <w:pStyle w:val="FirstParagraph"/>
      </w:pPr>
      <w:r>
        <w:t xml:space="preserve">The following table reports the cohort median (with the 25th–75th percentile range across the 19 users) for each algorithm on the production-realistic online evaluation.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AAPS Average</w:t>
            </w:r>
          </w:p>
        </w:tc>
        <w:tc>
          <w:tcPr/>
          <w:p>
            <w:pPr>
              <w:pStyle w:val="Compact"/>
              <w:jc w:val="right"/>
            </w:pPr>
            <w:r>
              <w:t xml:space="preserve">AAPS Exponential</w:t>
            </w:r>
          </w:p>
        </w:tc>
        <w:tc>
          <w:tcPr/>
          <w:p>
            <w:pPr>
              <w:pStyle w:val="Compact"/>
              <w:jc w:val="right"/>
            </w:pPr>
            <w:r>
              <w:t xml:space="preserve">UKF</w:t>
            </w:r>
          </w:p>
        </w:tc>
      </w:tr>
      <w:tr>
        <w:tc>
          <w:tcPr/>
          <w:p>
            <w:pPr>
              <w:pStyle w:val="Compact"/>
            </w:pPr>
            <w:r>
              <w:t xml:space="preserve">Noise reduction ratio (smaller = more smoothing)</w:t>
            </w:r>
          </w:p>
        </w:tc>
        <w:tc>
          <w:tcPr/>
          <w:p>
            <w:pPr>
              <w:pStyle w:val="Compact"/>
              <w:jc w:val="right"/>
            </w:pPr>
            <w:r>
              <w:t xml:space="preserve">1.000 (1.000 – 1.000)</w:t>
            </w:r>
          </w:p>
        </w:tc>
        <w:tc>
          <w:tcPr/>
          <w:p>
            <w:pPr>
              <w:pStyle w:val="Compact"/>
              <w:jc w:val="right"/>
            </w:pPr>
            <w:r>
              <w:t xml:space="preserve">0.840 (0.767 – 0.888)</w:t>
            </w:r>
          </w:p>
        </w:tc>
        <w:tc>
          <w:tcPr/>
          <w:p>
            <w:pPr>
              <w:pStyle w:val="Compact"/>
              <w:jc w:val="right"/>
            </w:pPr>
            <w:r>
              <w:t xml:space="preserve">0.819 (0.737 – 0.872)</w:t>
            </w:r>
          </w:p>
        </w:tc>
      </w:tr>
      <w:tr>
        <w:tc>
          <w:tcPr/>
          <w:p>
            <w:pPr>
              <w:pStyle w:val="Compact"/>
            </w:pPr>
            <w:r>
              <w:t xml:space="preserve">Attenuation in signal band (≈ 1 = transparent)</w:t>
            </w:r>
          </w:p>
        </w:tc>
        <w:tc>
          <w:tcPr/>
          <w:p>
            <w:pPr>
              <w:pStyle w:val="Compact"/>
              <w:jc w:val="right"/>
            </w:pPr>
            <w:r>
              <w:t xml:space="preserve">1.000 (1.000 – 1.000)</w:t>
            </w:r>
          </w:p>
        </w:tc>
        <w:tc>
          <w:tcPr/>
          <w:p>
            <w:pPr>
              <w:pStyle w:val="Compact"/>
              <w:jc w:val="right"/>
            </w:pPr>
            <w:r>
              <w:t xml:space="preserve">1.032 (1.029 – 1.035)</w:t>
            </w:r>
          </w:p>
        </w:tc>
        <w:tc>
          <w:tcPr/>
          <w:p>
            <w:pPr>
              <w:pStyle w:val="Compact"/>
              <w:jc w:val="right"/>
            </w:pPr>
            <w:r>
              <w:t xml:space="preserve">1.032 (1.031 – 1.034)</w:t>
            </w:r>
          </w:p>
        </w:tc>
      </w:tr>
      <w:tr>
        <w:tc>
          <w:tcPr/>
          <w:p>
            <w:pPr>
              <w:pStyle w:val="Compact"/>
            </w:pPr>
            <w:r>
              <w:t xml:space="preserve">Cross-correlation lag (min)</w:t>
            </w:r>
          </w:p>
        </w:tc>
        <w:tc>
          <w:tcPr/>
          <w:p>
            <w:pPr>
              <w:pStyle w:val="Compact"/>
              <w:jc w:val="right"/>
            </w:pPr>
            <w:r>
              <w:t xml:space="preserve">0.000 (0.000 – 0.000)</w:t>
            </w:r>
          </w:p>
        </w:tc>
        <w:tc>
          <w:tcPr/>
          <w:p>
            <w:pPr>
              <w:pStyle w:val="Compact"/>
              <w:jc w:val="right"/>
            </w:pPr>
            <w:r>
              <w:t xml:space="preserve">1.94 (1.68 – 2.04)</w:t>
            </w:r>
          </w:p>
        </w:tc>
        <w:tc>
          <w:tcPr/>
          <w:p>
            <w:pPr>
              <w:pStyle w:val="Compact"/>
              <w:jc w:val="right"/>
            </w:pPr>
            <w:r>
              <w:t xml:space="preserve">1.11 (1.01 – 1.22)</w:t>
            </w:r>
          </w:p>
        </w:tc>
      </w:tr>
      <w:tr>
        <w:tc>
          <w:tcPr/>
          <w:p>
            <w:pPr>
              <w:pStyle w:val="Compact"/>
            </w:pPr>
            <w:r>
              <w:t xml:space="preserve">Phase-shift delay (min)</w:t>
            </w:r>
          </w:p>
        </w:tc>
        <w:tc>
          <w:tcPr/>
          <w:p>
            <w:pPr>
              <w:pStyle w:val="Compact"/>
              <w:jc w:val="right"/>
            </w:pPr>
            <w:r>
              <w:t xml:space="preserve">0.00 (0.00 – 0.00)</w:t>
            </w:r>
          </w:p>
        </w:tc>
        <w:tc>
          <w:tcPr/>
          <w:p>
            <w:pPr>
              <w:pStyle w:val="Compact"/>
              <w:jc w:val="right"/>
            </w:pPr>
            <w:r>
              <w:t xml:space="preserve">−1.71 (−1.84 – −1.61)</w:t>
            </w:r>
          </w:p>
        </w:tc>
        <w:tc>
          <w:tcPr/>
          <w:p>
            <w:pPr>
              <w:pStyle w:val="Compact"/>
              <w:jc w:val="right"/>
            </w:pPr>
            <w:r>
              <w:t xml:space="preserve">−0.85 (−0.89 – −0.77)</w:t>
            </w:r>
          </w:p>
        </w:tc>
      </w:tr>
      <w:tr>
        <w:tc>
          <w:tcPr/>
          <w:p>
            <w:pPr>
              <w:pStyle w:val="Compact"/>
            </w:pPr>
            <w:r>
              <w:t xml:space="preserve">Step-response delay (min)</w:t>
            </w:r>
          </w:p>
        </w:tc>
        <w:tc>
          <w:tcPr/>
          <w:p>
            <w:pPr>
              <w:pStyle w:val="Compact"/>
              <w:jc w:val="right"/>
            </w:pPr>
            <w:r>
              <w:t xml:space="preserve">−0.75 (−0.94 – −0.63)</w:t>
            </w:r>
          </w:p>
        </w:tc>
        <w:tc>
          <w:tcPr/>
          <w:p>
            <w:pPr>
              <w:pStyle w:val="Compact"/>
              <w:jc w:val="right"/>
            </w:pPr>
            <w:r>
              <w:t xml:space="preserve">0.31 (0.21 – 0.41)</w:t>
            </w:r>
          </w:p>
        </w:tc>
        <w:tc>
          <w:tcPr/>
          <w:p>
            <w:pPr>
              <w:pStyle w:val="Compact"/>
              <w:jc w:val="right"/>
            </w:pPr>
            <w:r>
              <w:t xml:space="preserve">−0.25 (−0.29 – −0.19)</w:t>
            </w:r>
          </w:p>
        </w:tc>
      </w:tr>
      <w:tr>
        <w:tc>
          <w:tcPr/>
          <w:p>
            <w:pPr>
              <w:pStyle w:val="Compact"/>
            </w:pPr>
            <w:r>
              <w:t xml:space="preserve">Hypo events preserved (%)</w:t>
            </w:r>
          </w:p>
        </w:tc>
        <w:tc>
          <w:tcPr/>
          <w:p>
            <w:pPr>
              <w:pStyle w:val="Compact"/>
              <w:jc w:val="right"/>
            </w:pPr>
            <w:r>
              <w:t xml:space="preserve">100.0 (100.0 – 100.0)</w:t>
            </w:r>
          </w:p>
        </w:tc>
        <w:tc>
          <w:tcPr/>
          <w:p>
            <w:pPr>
              <w:pStyle w:val="Compact"/>
              <w:jc w:val="right"/>
            </w:pPr>
            <w:r>
              <w:t xml:space="preserve">92.9 (87.5 – 95.1)</w:t>
            </w:r>
          </w:p>
        </w:tc>
        <w:tc>
          <w:tcPr/>
          <w:p>
            <w:pPr>
              <w:pStyle w:val="Compact"/>
              <w:jc w:val="right"/>
            </w:pPr>
            <w:r>
              <w:t xml:space="preserve">96.6 (92.2 – 97.7)</w:t>
            </w:r>
          </w:p>
        </w:tc>
      </w:tr>
      <w:tr>
        <w:tc>
          <w:tcPr/>
          <w:p>
            <w:pPr>
              <w:pStyle w:val="Compact"/>
            </w:pPr>
            <w:r>
              <w:t xml:space="preserve">Median hypo amplitude delta (mg/dL)</w:t>
            </w:r>
          </w:p>
        </w:tc>
        <w:tc>
          <w:tcPr/>
          <w:p>
            <w:pPr>
              <w:pStyle w:val="Compact"/>
              <w:jc w:val="right"/>
            </w:pPr>
            <w:r>
              <w:t xml:space="preserve">0.00 (0.00 – 0.00)</w:t>
            </w:r>
          </w:p>
        </w:tc>
        <w:tc>
          <w:tcPr/>
          <w:p>
            <w:pPr>
              <w:pStyle w:val="Compact"/>
              <w:jc w:val="right"/>
            </w:pPr>
            <w:r>
              <w:t xml:space="preserve">0.00 (−0.15 – 0.00)</w:t>
            </w:r>
          </w:p>
        </w:tc>
        <w:tc>
          <w:tcPr/>
          <w:p>
            <w:pPr>
              <w:pStyle w:val="Compact"/>
              <w:jc w:val="right"/>
            </w:pPr>
            <w:r>
              <w:t xml:space="preserve">−0.18 (−0.35 – −0.01)</w:t>
            </w:r>
          </w:p>
        </w:tc>
      </w:tr>
      <w:tr>
        <w:tc>
          <w:tcPr/>
          <w:p>
            <w:pPr>
              <w:pStyle w:val="Compact"/>
            </w:pPr>
            <w:r>
              <w:t xml:space="preserve">Peak (&gt; 180 mg/dL) preserved (%)</w:t>
            </w:r>
          </w:p>
        </w:tc>
        <w:tc>
          <w:tcPr/>
          <w:p>
            <w:pPr>
              <w:pStyle w:val="Compact"/>
              <w:jc w:val="right"/>
            </w:pPr>
            <w:r>
              <w:t xml:space="preserve">100.0 (100.0 – 100.0)</w:t>
            </w:r>
          </w:p>
        </w:tc>
        <w:tc>
          <w:tcPr/>
          <w:p>
            <w:pPr>
              <w:pStyle w:val="Compact"/>
              <w:jc w:val="right"/>
            </w:pPr>
            <w:r>
              <w:t xml:space="preserve">98.4 (96.1 – 99.5)</w:t>
            </w:r>
          </w:p>
        </w:tc>
        <w:tc>
          <w:tcPr/>
          <w:p>
            <w:pPr>
              <w:pStyle w:val="Compact"/>
              <w:jc w:val="right"/>
            </w:pPr>
            <w:r>
              <w:t xml:space="preserve">99.5 (98.5 – 100.0)</w:t>
            </w:r>
          </w:p>
        </w:tc>
      </w:tr>
      <w:tr>
        <w:tc>
          <w:tcPr/>
          <w:p>
            <w:pPr>
              <w:pStyle w:val="Compact"/>
            </w:pPr>
            <w:r>
              <w:t xml:space="preserve">Outlier absorption (%)</w:t>
            </w:r>
          </w:p>
        </w:tc>
        <w:tc>
          <w:tcPr/>
          <w:p>
            <w:pPr>
              <w:pStyle w:val="Compact"/>
              <w:jc w:val="right"/>
            </w:pPr>
            <w:r>
              <w:t xml:space="preserve">0.0 (0.0 – 0.0)</w:t>
            </w:r>
          </w:p>
        </w:tc>
        <w:tc>
          <w:tcPr/>
          <w:p>
            <w:pPr>
              <w:pStyle w:val="Compact"/>
              <w:jc w:val="right"/>
            </w:pPr>
            <w:r>
              <w:t xml:space="preserve">29.7 (20.3 – 48.9)</w:t>
            </w:r>
          </w:p>
        </w:tc>
        <w:tc>
          <w:tcPr/>
          <w:p>
            <w:pPr>
              <w:pStyle w:val="Compact"/>
              <w:jc w:val="right"/>
            </w:pPr>
            <w:r>
              <w:t xml:space="preserve">37.8 (29.2 – 59.5)</w:t>
            </w:r>
          </w:p>
        </w:tc>
      </w:tr>
    </w:tbl>
    <w:p>
      <w:pPr>
        <w:pStyle w:val="BodyText"/>
      </w:pPr>
      <w:r>
        <w:t xml:space="preserve">A few features stand out.</w:t>
      </w:r>
    </w:p>
    <w:p>
      <w:pPr>
        <w:pStyle w:val="BodyText"/>
      </w:pPr>
      <w:r>
        <w:rPr>
          <w:b/>
          <w:bCs/>
        </w:rPr>
        <w:t xml:space="preserve">AAPS Average is operationally a no-op at the leading edge.</w:t>
      </w:r>
      <w:r>
        <w:t xml:space="preserve"> </w:t>
      </w:r>
      <w:r>
        <w:t xml:space="preserve">Every metric driven by the leading-edge value reduces to its raw-pass-through level: noise ratio 1.0, phase shift 0, no outlier absorption, 100 % hypo and peak preservation. The step-response value of −0.75 minutes is a metric artefact (the smoothed-rate threshold of 0.35 mg/dL/min is crossed before the raw-rate threshold of 0.5 mg/dL/min as a rising rate sweeps past 0.35 then 0.5, regardless of whether smoothing is applied) and is consistent with no leading-edge effect. This behaviour is the consequence of the production AAPS design — the dose engine reads the raw value for the current reading and the smoother only retroactively smooths older readings — not a flaw. The smoother does affect rate-of-change calculations (because the AID may compute slope using smoothed t − 1 and raw t), but the current-reading value driving the next bolus or basal adjustment is never modified.</w:t>
      </w:r>
    </w:p>
    <w:p>
      <w:pPr>
        <w:pStyle w:val="BodyText"/>
      </w:pPr>
      <w:r>
        <w:rPr>
          <w:b/>
          <w:bCs/>
        </w:rPr>
        <w:t xml:space="preserve">AAPS Exponential applies the larger phase delay.</w:t>
      </w:r>
      <w:r>
        <w:t xml:space="preserve"> </w:t>
      </w:r>
      <w:r>
        <w:t xml:space="preserve">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pPr>
        <w:pStyle w:val="BodyText"/>
      </w:pPr>
      <w:r>
        <w:rPr>
          <w:b/>
          <w:bCs/>
        </w:rPr>
        <w:t xml:space="preserve">The UKF achieves slightly more noise reduction at less than half the phase delay.</w:t>
      </w:r>
      <w:r>
        <w:t xml:space="preserve"> </w:t>
      </w:r>
      <w:r>
        <w:t xml:space="preserve">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w:t>
      </w:r>
      <w:r>
        <w:t xml:space="preserve"> </w:t>
      </w:r>
      <w:r>
        <w:t xml:space="preserve">“predicting”</w:t>
      </w:r>
      <w:r>
        <w:t xml:space="preserve"> </w:t>
      </w:r>
      <w:r>
        <w:t xml:space="preserve">the future of the raw stream.</w:t>
      </w:r>
    </w:p>
    <w:p>
      <w:pPr>
        <w:pStyle w:val="BodyText"/>
      </w:pPr>
      <w:r>
        <w:t xml:space="preserve">Pairwise Wilcoxon signed-rank tests with Holm correction across the 30 (metric × pair) combinations: for the metrics on which AAPS Average is structurally distinct from the adaptive smoothers (noise reduction, phase shift, signal-band attenuation, cross-correlation lag, outlier absorption), AAPS Average vs each adaptive smoother rejects at p ≤ 1e-4. AAPS Exponential vs UKF rejects at p ≤ 1e-3 on cross-correlation lag, step-response delay, phase shift, hypo preservation, peak preservation and outlier absorption; rejects at p = 0.026 on noise reduction (significant at α = 0.05 but the Exp-vs-UKF noise difference is modest, ≈ 2 percentage points); and does not reject on signal-band attenuation, hypo amplitude delta, or hypo timing delta (p &gt; 0.05 — the smoothed/raw signal-band gain and the small-amplitude shifts in surviving hypo events are not statistically separable between the two adaptive smoothers in this cohort). The full table is in</w:t>
      </w:r>
      <w:r>
        <w:t xml:space="preserve"> </w:t>
      </w:r>
      <w:r>
        <w:rPr>
          <w:rStyle w:val="VerbatimChar"/>
        </w:rPr>
        <w:t xml:space="preserve">reports/cross_smoother_tests.csv</w:t>
      </w:r>
      <w:r>
        <w:t xml:space="preserve">.</w:t>
      </w:r>
    </w:p>
    <w:bookmarkEnd w:id="17"/>
    <w:bookmarkStart w:id="18" w:name="X5be3f885712f91f3511a945f41f7be521114c72"/>
    <w:p>
      <w:pPr>
        <w:pStyle w:val="Heading3"/>
      </w:pPr>
      <w:r>
        <w:t xml:space="preserve">3.2 Pareto frontier — noise reduction vs phase shift</w:t>
      </w:r>
    </w:p>
    <w:p>
      <w:pPr>
        <w:pStyle w:val="FirstParagraph"/>
      </w:pPr>
      <w:r>
        <w:rPr>
          <w:i/>
          <w:iCs/>
        </w:rPr>
        <w:t xml:space="preserve">Figure 1. Per-user noise reduction ratio plotted against phase-shift delay for each smoother. Lower-left is better (more noise reduction at smaller delay). The UKF cluster lies at smaller phase delay than AAPS Exponential, with overlapping noise-reduction ranges. AAPS Average is at (1, 0) — the no-op corner.</w:t>
      </w:r>
    </w:p>
    <w:p>
      <w:pPr>
        <w:pStyle w:val="BodyText"/>
      </w:pPr>
      <w:r>
        <w:t xml:space="preserve">The figure makes the trade-off concrete. AAPS Exponential’s points cluster at noise ratio 0.36 – 0.94 with phase delay −1.2 to −2.3 minutes; UKF’s points cluster at noise ratio 0.40 – 0.92 with phase delay −0.66 to −1.17 minutes. On a per-user paired comparison the UKF achieves at least as much noise reduction at smaller phase-delay magnitude than AAPS Exponential for 14 of 19 users; the remaining 5 users (U033, U047, U138, U142, U143) have AAPS Exponential with marginally lower noise ratios than the UKF on the same user but with larger phase delays. Across the cohort the existential claim holds for 18 of 19 AAPS Exponential operating points (some UKF user has at least as much noise reduction at smaller phase-delay magnitude); U033’s AAPS Exponential point at noise ratio 0.359 is the one not matched by any UKF user.</w:t>
      </w:r>
    </w:p>
    <w:p>
      <w:pPr>
        <w:pStyle w:val="BodyText"/>
      </w:pPr>
      <w:r>
        <w:rPr>
          <w:i/>
          <w:iCs/>
        </w:rPr>
        <w:t xml:space="preserve">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bookmarkEnd w:id="18"/>
    <w:bookmarkStart w:id="19" w:name="per-step-decomposition"/>
    <w:p>
      <w:pPr>
        <w:pStyle w:val="Heading3"/>
      </w:pPr>
      <w:r>
        <w:t xml:space="preserve">3.3 Per-step decomposition</w:t>
      </w:r>
    </w:p>
    <w:p>
      <w:pPr>
        <w:pStyle w:val="FirstParagraph"/>
      </w:pPr>
      <w:r>
        <w:t xml:space="preserve">For the UKF we can decompose the smoothing into three stages and report the per-reading absolute delta each stage applies. The cohort-median |Δ| in mg/dL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Median</w:t>
            </w:r>
          </w:p>
        </w:tc>
        <w:tc>
          <w:tcPr/>
          <w:p>
            <w:pPr>
              <w:pStyle w:val="Compact"/>
              <w:jc w:val="right"/>
            </w:pPr>
            <w:r>
              <w:t xml:space="preserve">Δ</w:t>
            </w:r>
          </w:p>
        </w:tc>
      </w:tr>
      <w:tr>
        <w:tc>
          <w:tcPr/>
          <w:p>
            <w:pPr>
              <w:pStyle w:val="Compact"/>
            </w:pPr>
            <w:r>
              <w:t xml:space="preserve">Predict (sigma-point time-update)</w:t>
            </w:r>
          </w:p>
        </w:tc>
        <w:tc>
          <w:tcPr/>
          <w:p>
            <w:pPr>
              <w:pStyle w:val="Compact"/>
              <w:jc w:val="right"/>
            </w:pPr>
            <w:r>
              <w:t xml:space="preserve">2.4</w:t>
            </w:r>
          </w:p>
        </w:tc>
        <w:tc>
          <w:tcPr/>
          <w:p>
            <w:pPr>
              <w:pStyle w:val="Compact"/>
              <w:jc w:val="right"/>
            </w:pPr>
            <w:r>
              <w:t xml:space="preserve">100 %</w:t>
            </w:r>
          </w:p>
        </w:tc>
      </w:tr>
      <w:tr>
        <w:tc>
          <w:tcPr/>
          <w:p>
            <w:pPr>
              <w:pStyle w:val="Compact"/>
            </w:pPr>
            <w:r>
              <w:t xml:space="preserve">Update (Kalman correction towards measurement)</w:t>
            </w:r>
          </w:p>
        </w:tc>
        <w:tc>
          <w:tcPr/>
          <w:p>
            <w:pPr>
              <w:pStyle w:val="Compact"/>
              <w:jc w:val="right"/>
            </w:pPr>
            <w:r>
              <w:t xml:space="preserve">1.6</w:t>
            </w:r>
          </w:p>
        </w:tc>
        <w:tc>
          <w:tcPr/>
          <w:p>
            <w:pPr>
              <w:pStyle w:val="Compact"/>
              <w:jc w:val="right"/>
            </w:pPr>
            <w:r>
              <w:t xml:space="preserve">100 %</w:t>
            </w:r>
          </w:p>
        </w:tc>
      </w:tr>
      <w:tr>
        <w:tc>
          <w:tcPr/>
          <w:p>
            <w:pPr>
              <w:pStyle w:val="Compact"/>
            </w:pPr>
            <w:r>
              <w:t xml:space="preserve">RTS (backward smoother)</w:t>
            </w:r>
          </w:p>
        </w:tc>
        <w:tc>
          <w:tcPr/>
          <w:p>
            <w:pPr>
              <w:pStyle w:val="Compact"/>
              <w:jc w:val="right"/>
            </w:pPr>
            <w:r>
              <w:t xml:space="preserve">0.0</w:t>
            </w:r>
          </w:p>
        </w:tc>
        <w:tc>
          <w:tcPr/>
          <w:p>
            <w:pPr>
              <w:pStyle w:val="Compact"/>
              <w:jc w:val="right"/>
            </w:pPr>
            <w:r>
              <w:t xml:space="preserve">0.01 %</w:t>
            </w:r>
          </w:p>
        </w:tc>
      </w:tr>
    </w:tbl>
    <w:p>
      <w:pPr>
        <w:pStyle w:val="BodyText"/>
      </w:pPr>
      <w:r>
        <w:rPr>
          <w:i/>
          <w:iCs/>
        </w:rPr>
        <w:t xml:space="preserve">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pPr>
        <w:pStyle w:val="BodyText"/>
      </w:pPr>
      <w:r>
        <w:t xml:space="preserve">The RTS stage applies effectively zero modification at the leading edge — confirming the algorithmic property: RTS revises older positions in the window but leaves the newest state at its forward value. This is</w:t>
      </w:r>
      <w:r>
        <w:t xml:space="preserve"> </w:t>
      </w:r>
      <w:r>
        <w:rPr>
          <w:i/>
          <w:iCs/>
        </w:rPr>
        <w:t xml:space="preserve">correct</w:t>
      </w:r>
      <w:r>
        <w:t xml:space="preserve"> </w:t>
      </w:r>
      <w:r>
        <w:t xml:space="preserve">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pPr>
        <w:pStyle w:val="BodyText"/>
      </w:pPr>
      <w:r>
        <w:t xml:space="preserve">For AAPS Exponential the leading-edge filter applies a median |Δ| of 1.0 mg/dL and changes 78 % of readings (cohort medians).</w:t>
      </w:r>
    </w:p>
    <w:bookmarkEnd w:id="19"/>
    <w:bookmarkStart w:id="20" w:name="event-aligned-visual-comparison"/>
    <w:p>
      <w:pPr>
        <w:pStyle w:val="Heading3"/>
      </w:pPr>
      <w:r>
        <w:t xml:space="preserve">3.3.1 Event-aligned visual comparison</w:t>
      </w:r>
    </w:p>
    <w:p>
      <w:pPr>
        <w:pStyle w:val="FirstParagraph"/>
      </w:pPr>
      <w:r>
        <w:t xml:space="preserve">To visualise smoother behaviour against real data, we event-aligned the cohort traces around two reference event types: low-variance</w:t>
      </w:r>
      <w:r>
        <w:t xml:space="preserve"> </w:t>
      </w:r>
      <w:r>
        <w:t xml:space="preserve">“calm”</w:t>
      </w:r>
      <w:r>
        <w:t xml:space="preserve"> </w:t>
      </w:r>
      <w:r>
        <w:t xml:space="preserve">60-minute windows (raw glucose in [70, 180] mg/dL with |raw rate| &lt; 0.3 mg/dL/min sustained for the full window), and</w:t>
      </w:r>
      <w:r>
        <w:t xml:space="preserve"> </w:t>
      </w:r>
      <w:r>
        <w:t xml:space="preserve">“rate-rise”</w:t>
      </w:r>
      <w:r>
        <w:t xml:space="preserve"> </w:t>
      </w:r>
      <w:r>
        <w:t xml:space="preserve">events (raw rate ≥ 0.5 mg/dL/min sustained for ≥ 15 minutes). The deviation figures below have three panels — (smoothed − raw) glucose, (smoothed − raw) first derivative, and (smoothed − raw) second derivative — but only the glucose panel is described in the captions for brevity.</w:t>
      </w:r>
    </w:p>
    <w:p>
      <w:pPr>
        <w:pStyle w:val="BodyText"/>
      </w:pPr>
      <w:r>
        <w:rPr>
          <w:i/>
          <w:iCs/>
        </w:rPr>
        <w:t xml:space="preserve">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pStyle w:val="BodyText"/>
      </w:pPr>
      <w:r>
        <w:rPr>
          <w:i/>
          <w:iCs/>
        </w:rPr>
        <w:t xml:space="preserve">Figure 5. Rate-rise event-aligned deviation envelopes: median (line) and IQR (shaded) of (smoothed − raw) across rate-rise events. The negative shift during the rise reflects the smoother’s lag — it tracks below the rising raw — and is visibly smaller for the UKF than AAPS Exponential.</w:t>
      </w:r>
    </w:p>
    <w:bookmarkEnd w:id="20"/>
    <w:bookmarkStart w:id="21" w:name="per-user-phenotypes"/>
    <w:p>
      <w:pPr>
        <w:pStyle w:val="Heading3"/>
      </w:pPr>
      <w:r>
        <w:t xml:space="preserve">3.4 Per-user phenotypes</w:t>
      </w:r>
    </w:p>
    <w:p>
      <w:pPr>
        <w:pStyle w:val="FirstParagraph"/>
      </w:pPr>
      <w:r>
        <w:t xml:space="preserve">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bookmarkEnd w:id="21"/>
    <w:bookmarkStart w:id="22" w:name="Xb9d48ec23d11eda6166c27259d3a202eac5e89b"/>
    <w:p>
      <w:pPr>
        <w:pStyle w:val="Heading3"/>
      </w:pPr>
      <w:r>
        <w:t xml:space="preserve">3.5 SID (Sensor Integrity Detection) re-detection</w:t>
      </w:r>
    </w:p>
    <w:p>
      <w:pPr>
        <w:pStyle w:val="FirstParagraph"/>
      </w:pPr>
      <w:r>
        <w:t xml:space="preserve">SID v6 is a research-grade Sensor Integrity Detection layer maintained separately from AAPS and oref0 (it is not part of either production stack). The logic looks for sustained glucose-deviation events that suggest a sensor problem (compression, calibration drift). We ran SID against each smoother’s output to count surviving events. The headline numbers across the cohort are:</w:t>
      </w:r>
    </w:p>
    <w:p>
      <w:pPr>
        <w:pStyle w:val="Compact"/>
        <w:numPr>
          <w:ilvl w:val="0"/>
          <w:numId w:val="1004"/>
        </w:numPr>
      </w:pPr>
      <w:r>
        <w:t xml:space="preserve">AAPS Average: 4,948 SID events (bias to flag, since the leading edge is raw and noisy)</w:t>
      </w:r>
    </w:p>
    <w:p>
      <w:pPr>
        <w:pStyle w:val="Compact"/>
        <w:numPr>
          <w:ilvl w:val="0"/>
          <w:numId w:val="1004"/>
        </w:numPr>
      </w:pPr>
      <w:r>
        <w:t xml:space="preserve">AAPS Exponential: 1,711 events (65 % fewer than AAPS Average)</w:t>
      </w:r>
    </w:p>
    <w:p>
      <w:pPr>
        <w:pStyle w:val="Compact"/>
        <w:numPr>
          <w:ilvl w:val="0"/>
          <w:numId w:val="1004"/>
        </w:numPr>
      </w:pPr>
      <w:r>
        <w:t xml:space="preserve">UKF: 3,263 events (34 % fewer than AAPS Average)</w:t>
      </w:r>
    </w:p>
    <w:p>
      <w:pPr>
        <w:pStyle w:val="FirstParagraph"/>
      </w:pPr>
      <w:r>
        <w:rPr>
          <w:i/>
          <w:iCs/>
        </w:rPr>
        <w:t xml:space="preserve">Figure 6. Per-user SID-survival vs noise reduction for each smoother. Lower-left is fewer SID events at greater noise reduction. AAPS Exponential lies lowest on event count, the UKF in between, AAPS Average highest (the noisy upper-right corner).</w:t>
      </w:r>
    </w:p>
    <w:p>
      <w:pPr>
        <w:pStyle w:val="BodyText"/>
      </w:pPr>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w:t>
      </w:r>
      <w:r>
        <w:t xml:space="preserve"> </w:t>
      </w:r>
      <w:r>
        <w:rPr>
          <w:i/>
          <w:iCs/>
        </w:rPr>
        <w:t xml:space="preserve">sustained</w:t>
      </w:r>
      <w:r>
        <w:t xml:space="preserve"> </w:t>
      </w:r>
      <w:r>
        <w:t xml:space="preserve">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We record that the smoother choice changes how often the SID layer fires, without claiming a clinical interpretation in either direction.</w:t>
      </w:r>
    </w:p>
    <w:bookmarkEnd w:id="22"/>
    <w:bookmarkEnd w:id="23"/>
    <w:bookmarkStart w:id="29" w:name="discussion"/>
    <w:p>
      <w:pPr>
        <w:pStyle w:val="Heading2"/>
      </w:pPr>
      <w:r>
        <w:t xml:space="preserve">4. Discussion</w:t>
      </w:r>
    </w:p>
    <w:bookmarkStart w:id="24" w:name="the-aaps-average-paradox"/>
    <w:p>
      <w:pPr>
        <w:pStyle w:val="Heading3"/>
      </w:pPr>
      <w:r>
        <w:t xml:space="preserve">4.1 The AAPS Average paradox</w:t>
      </w:r>
    </w:p>
    <w:p>
      <w:pPr>
        <w:pStyle w:val="FirstParagraph"/>
      </w:pPr>
      <w:r>
        <w:t xml:space="preserve">It is sometimes assumed that AAPS Average</w:t>
      </w:r>
      <w:r>
        <w:t xml:space="preserve"> </w:t>
      </w:r>
      <w:r>
        <w:t xml:space="preserve">“smooths the current reading by averaging over the last three points”</w:t>
      </w:r>
      <w:r>
        <w:t xml:space="preserve">. This is incorrect by inspection of the source. The Kotlin loop is</w:t>
      </w:r>
    </w:p>
    <w:p>
      <w:pPr>
        <w:pStyle w:val="SourceCode"/>
      </w:pPr>
      <w:r>
        <w:rPr>
          <w:rStyle w:val="VerbatimChar"/>
        </w:rPr>
        <w:t xml:space="preserve">for (i in 1 until data.size - 1) {</w:t>
      </w:r>
      <w:r>
        <w:br/>
      </w:r>
      <w:r>
        <w:rPr>
          <w:rStyle w:val="VerbatimChar"/>
        </w:rPr>
        <w:t xml:space="preserve">    if (39 &lt; data[i-1].value &amp;&amp; ... ) {</w:t>
      </w:r>
      <w:r>
        <w:br/>
      </w:r>
      <w:r>
        <w:rPr>
          <w:rStyle w:val="VerbatimChar"/>
        </w:rPr>
        <w:t xml:space="preserve">        data[i].smoothed = (data[i-1].value + data[i].value + data[i+1].value) / 3.0</w:t>
      </w:r>
      <w:r>
        <w:br/>
      </w:r>
      <w:r>
        <w:rPr>
          <w:rStyle w:val="VerbatimChar"/>
        </w:rPr>
        <w:t xml:space="preserve">    }</w:t>
      </w:r>
      <w:r>
        <w:br/>
      </w:r>
      <w:r>
        <w:rPr>
          <w:rStyle w:val="VerbatimChar"/>
        </w:rPr>
        <w:t xml:space="preserve">}</w:t>
      </w:r>
    </w:p>
    <w:p>
      <w:pPr>
        <w:pStyle w:val="FirstParagraph"/>
      </w:pPr>
      <w:r>
        <w:t xml:space="preserve">In AAPS newest-first list convention,</w:t>
      </w:r>
      <w:r>
        <w:t xml:space="preserve"> </w:t>
      </w:r>
      <w:r>
        <w:rPr>
          <w:rStyle w:val="VerbatimChar"/>
        </w:rPr>
        <w:t xml:space="preserve">data[0]</w:t>
      </w:r>
      <w:r>
        <w:t xml:space="preserve"> </w:t>
      </w:r>
      <w:r>
        <w:t xml:space="preserve">is the newest reading and</w:t>
      </w:r>
      <w:r>
        <w:t xml:space="preserve"> </w:t>
      </w:r>
      <w:r>
        <w:rPr>
          <w:rStyle w:val="VerbatimChar"/>
        </w:rPr>
        <w:t xml:space="preserve">data[lastIndex]</w:t>
      </w:r>
      <w:r>
        <w:t xml:space="preserve"> </w:t>
      </w:r>
      <w:r>
        <w:t xml:space="preserve">the oldest. The loop’s first iteration sets</w:t>
      </w:r>
      <w:r>
        <w:t xml:space="preserve"> </w:t>
      </w:r>
      <w:r>
        <w:rPr>
          <w:rStyle w:val="VerbatimChar"/>
        </w:rPr>
        <w:t xml:space="preserve">data[1].smoothed</w:t>
      </w:r>
      <w:r>
        <w:t xml:space="preserve"> </w:t>
      </w:r>
      <w:r>
        <w:t xml:space="preserve">— which is the</w:t>
      </w:r>
      <w:r>
        <w:t xml:space="preserve"> </w:t>
      </w:r>
      <w:r>
        <w:rPr>
          <w:i/>
          <w:iCs/>
        </w:rPr>
        <w:t xml:space="preserve">previous</w:t>
      </w:r>
      <w:r>
        <w:t xml:space="preserve"> </w:t>
      </w:r>
      <w:r>
        <w:t xml:space="preserve">reading — using</w:t>
      </w:r>
      <w:r>
        <w:t xml:space="preserve"> </w:t>
      </w:r>
      <w:r>
        <w:rPr>
          <w:rStyle w:val="VerbatimChar"/>
        </w:rPr>
        <w:t xml:space="preserve">data[0]</w:t>
      </w:r>
      <w:r>
        <w:t xml:space="preserve"> </w:t>
      </w:r>
      <w:r>
        <w:t xml:space="preserve">(newest),</w:t>
      </w:r>
      <w:r>
        <w:t xml:space="preserve"> </w:t>
      </w:r>
      <w:r>
        <w:rPr>
          <w:rStyle w:val="VerbatimChar"/>
        </w:rPr>
        <w:t xml:space="preserve">data[1]</w:t>
      </w:r>
      <w:r>
        <w:t xml:space="preserve"> </w:t>
      </w:r>
      <w:r>
        <w:t xml:space="preserve">(one back), and</w:t>
      </w:r>
      <w:r>
        <w:t xml:space="preserve"> </w:t>
      </w:r>
      <w:r>
        <w:rPr>
          <w:rStyle w:val="VerbatimChar"/>
        </w:rPr>
        <w:t xml:space="preserve">data[2]</w:t>
      </w:r>
      <w:r>
        <w:t xml:space="preserve"> </w:t>
      </w:r>
      <w:r>
        <w:t xml:space="preserve">(two back). The newest reading itself,</w:t>
      </w:r>
      <w:r>
        <w:t xml:space="preserve"> </w:t>
      </w:r>
      <w:r>
        <w:rPr>
          <w:rStyle w:val="VerbatimChar"/>
        </w:rPr>
        <w:t xml:space="preserve">data[0]</w:t>
      </w:r>
      <w:r>
        <w:t xml:space="preserve">, is never touched. Once another reading arrives, the previously-newest</w:t>
      </w:r>
      <w:r>
        <w:t xml:space="preserve"> </w:t>
      </w:r>
      <w:r>
        <w:rPr>
          <w:rStyle w:val="VerbatimChar"/>
        </w:rPr>
        <w:t xml:space="preserve">data[0]</w:t>
      </w:r>
      <w:r>
        <w:t xml:space="preserve"> </w:t>
      </w:r>
      <w:r>
        <w:t xml:space="preserve">becomes</w:t>
      </w:r>
      <w:r>
        <w:t xml:space="preserve"> </w:t>
      </w:r>
      <w:r>
        <w:rPr>
          <w:rStyle w:val="VerbatimChar"/>
        </w:rPr>
        <w:t xml:space="preserve">data[1]</w:t>
      </w:r>
      <w:r>
        <w:t xml:space="preserve"> </w:t>
      </w:r>
      <w:r>
        <w:t xml:space="preserve">in the next call’s view and</w:t>
      </w:r>
      <w:r>
        <w:t xml:space="preserve"> </w:t>
      </w:r>
      <w:r>
        <w:rPr>
          <w:i/>
          <w:iCs/>
        </w:rPr>
        <w:t xml:space="preserve">then</w:t>
      </w:r>
      <w:r>
        <w:t xml:space="preserve"> </w:t>
      </w:r>
      <w:r>
        <w:t xml:space="preserve">gets averaged using the now-newest reading as its</w:t>
      </w:r>
      <w:r>
        <w:t xml:space="preserve"> </w:t>
      </w:r>
      <w:r>
        <w:t xml:space="preserve">“future”</w:t>
      </w:r>
      <w:r>
        <w:t xml:space="preserve"> </w:t>
      </w:r>
      <w:r>
        <w:t xml:space="preserve">neighbour, the previously-newest as its</w:t>
      </w:r>
      <w:r>
        <w:t xml:space="preserve"> </w:t>
      </w:r>
      <w:r>
        <w:t xml:space="preserve">“current”</w:t>
      </w:r>
      <w:r>
        <w:t xml:space="preserve">, and the previously-one-back as its</w:t>
      </w:r>
      <w:r>
        <w:t xml:space="preserve"> </w:t>
      </w:r>
      <w:r>
        <w:t xml:space="preserve">“past”</w:t>
      </w:r>
      <w:r>
        <w:t xml:space="preserve">. In other words, AAPS Average operates at a one-tick lag — it commits a smoothed value to a reading only when the next reading has arrived. The dose engine sees raw at t, smoothed at t − 1, smoothed at t − 2, and so on.</w:t>
      </w:r>
    </w:p>
    <w:p>
      <w:pPr>
        <w:pStyle w:val="BodyText"/>
      </w:pPr>
      <w:r>
        <w:t xml:space="preserve">This is a deliberate design: it avoids ever passing a</w:t>
      </w:r>
      <w:r>
        <w:t xml:space="preserve"> </w:t>
      </w:r>
      <w:r>
        <w:t xml:space="preserve">“future-using”</w:t>
      </w:r>
      <w:r>
        <w:t xml:space="preserve"> </w:t>
      </w:r>
      <w:r>
        <w:t xml:space="preserve">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Compact"/>
        <w:numPr>
          <w:ilvl w:val="0"/>
          <w:numId w:val="1005"/>
        </w:numPr>
      </w:pPr>
      <w:r>
        <w:rPr>
          <w:b/>
          <w:bCs/>
        </w:rPr>
        <w:t xml:space="preserve">Slope smoothing</w:t>
      </w:r>
      <w:r>
        <w:t xml:space="preserve"> </w:t>
      </w:r>
      <w:r>
        <w:t xml:space="preserve">— the AID’s rate-of-change calculation can use smoothed t − 1, smoothed t − 2, etc., which reduces single-reading slope spikes.</w:t>
      </w:r>
    </w:p>
    <w:p>
      <w:pPr>
        <w:pStyle w:val="Compact"/>
        <w:numPr>
          <w:ilvl w:val="0"/>
          <w:numId w:val="1005"/>
        </w:numPr>
      </w:pPr>
      <w:r>
        <w:rPr>
          <w:b/>
          <w:bCs/>
        </w:rPr>
        <w:t xml:space="preserve">Historical curve smoothing</w:t>
      </w:r>
      <w:r>
        <w:t xml:space="preserve"> </w:t>
      </w:r>
      <w:r>
        <w:t xml:space="preserve">— visualisations and other slow-loop analyses see a cleaner past curve.</w:t>
      </w:r>
    </w:p>
    <w:p>
      <w:pPr>
        <w:pStyle w:val="FirstParagraph"/>
      </w:pPr>
      <w:r>
        <w:t xml:space="preserve">But it does not service the most safety-critical question:</w:t>
      </w:r>
      <w:r>
        <w:t xml:space="preserve"> </w:t>
      </w:r>
      <w:r>
        <w:t xml:space="preserve">“what is the glucose right now?”</w:t>
      </w:r>
      <w:r>
        <w:t xml:space="preserve"> </w:t>
      </w:r>
      <w:r>
        <w:t xml:space="preserve">That reads as raw.</w:t>
      </w:r>
    </w:p>
    <w:p>
      <w:pPr>
        <w:pStyle w:val="BodyText"/>
      </w:pPr>
      <w:r>
        <w:t xml:space="preserve">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pPr>
        <w:pStyle w:val="BodyText"/>
      </w:pPr>
      <w:r>
        <w:t xml:space="preserve">We are not arguing that one stance is inherently better. The smoothed values committed to past readings still affect the AID’s slope calculations and historical view of the curve; the only operational claim about AAPS Average is that the value at t itself is not modified.</w:t>
      </w:r>
    </w:p>
    <w:bookmarkEnd w:id="24"/>
    <w:bookmarkStart w:id="25" w:name="the-ukf-pareto-position"/>
    <w:p>
      <w:pPr>
        <w:pStyle w:val="Heading3"/>
      </w:pPr>
      <w:r>
        <w:t xml:space="preserve">4.2 The UKF Pareto position</w:t>
      </w:r>
    </w:p>
    <w:p>
      <w:pPr>
        <w:pStyle w:val="FirstParagraph"/>
      </w:pPr>
      <w:r>
        <w:t xml:space="preserve">For 18 of the 19 AAPS Exponential operating points reached in this cohort there is a UKF user with at least as much noise reduction at smaller phase-delay magnitude; on a per-user paired comparison this paired dominance holds for 14 of 19 users. The UKF therefore lies on the lower-delay side of the AAPS Exponential operating range, but the dominance is not strict per-user. This is consistent with the UKF being a more parameterised estimator that uses both the measurement and a model of glucose dynamics; the trade-off it accepts is computational cost (roughly 250 × more wall-clock per reading than AAPS Exponential in our Python implementation, though absolute cost is still small — &lt; 100 µs per reading on a modern CPU) and substantially more parameter complexity (covariance bounds, χ² thresholds, R-adaptation rates). The development-branch UKF parameterisation we used has been tuned by the AAPS development team against a separate dataset; whether the same parameterisation would remain on the lower-delay side after a re-tune for this cohort is a question for future work.</w:t>
      </w:r>
    </w:p>
    <w:bookmarkEnd w:id="25"/>
    <w:bookmarkStart w:id="26" w:name="what-online-means-for-outlier-absorption"/>
    <w:p>
      <w:pPr>
        <w:pStyle w:val="Heading3"/>
      </w:pPr>
      <w:r>
        <w:t xml:space="preserve">4.3 What</w:t>
      </w:r>
      <w:r>
        <w:t xml:space="preserve"> </w:t>
      </w:r>
      <w:r>
        <w:t xml:space="preserve">“online”</w:t>
      </w:r>
      <w:r>
        <w:t xml:space="preserve"> </w:t>
      </w:r>
      <w:r>
        <w:t xml:space="preserve">means for outlier absorption</w:t>
      </w:r>
    </w:p>
    <w:p>
      <w:pPr>
        <w:pStyle w:val="FirstParagraph"/>
      </w:pPr>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w:t>
      </w:r>
      <w:r>
        <w:t xml:space="preserve"> </w:t>
      </w:r>
      <w:r>
        <w:rPr>
          <w:i/>
          <w:iCs/>
        </w:rPr>
        <w:t xml:space="preserve">before</w:t>
      </w:r>
      <w:r>
        <w:t xml:space="preserve"> </w:t>
      </w:r>
      <w:r>
        <w:t xml:space="preserve">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Style w:val="VerbatimChar"/>
        </w:rPr>
        <w:t xml:space="preserve">exercise mode</w:t>
      </w:r>
      <w:r>
        <w:t xml:space="preserve">,</w:t>
      </w:r>
      <w:r>
        <w:t xml:space="preserve"> </w:t>
      </w:r>
      <w:r>
        <w:rPr>
          <w:rStyle w:val="VerbatimChar"/>
        </w:rPr>
        <w:t xml:space="preserve">temptarget</w:t>
      </w:r>
      <w:r>
        <w:t xml:space="preserve">, etc.) ramps off fairly quickly when slope estimates decay; a single-reading 50 mg/dL spike can briefly lift the slope estimate above safety thresholds even if the dose engine handles the absolute value sensibly.</w:t>
      </w:r>
    </w:p>
    <w:bookmarkEnd w:id="26"/>
    <w:bookmarkStart w:id="27" w:name="limitations"/>
    <w:p>
      <w:pPr>
        <w:pStyle w:val="Heading3"/>
      </w:pPr>
      <w:r>
        <w:t xml:space="preserve">4.4 Limitations</w:t>
      </w:r>
    </w:p>
    <w:p>
      <w:pPr>
        <w:pStyle w:val="Compact"/>
        <w:numPr>
          <w:ilvl w:val="0"/>
          <w:numId w:val="1006"/>
        </w:numPr>
      </w:pPr>
      <w:r>
        <w:t xml:space="preserve">The cohort is 19 users, not a clinical trial. We did not have ground-truth glucose values (no blood-glucose comparator), so noise/delay statistics are purely intrinsic-to-the-stream.</w:t>
      </w:r>
    </w:p>
    <w:p>
      <w:pPr>
        <w:pStyle w:val="Compact"/>
        <w:numPr>
          <w:ilvl w:val="0"/>
          <w:numId w:val="1006"/>
        </w:numPr>
      </w:pPr>
      <w:r>
        <w:t xml:space="preserve">We evaluated only the</w:t>
      </w:r>
      <w:r>
        <w:t xml:space="preserve"> </w:t>
      </w:r>
      <w:r>
        <w:rPr>
          <w:i/>
          <w:iCs/>
        </w:rPr>
        <w:t xml:space="preserve">intrinsic</w:t>
      </w:r>
      <w:r>
        <w:t xml:space="preserve"> </w:t>
      </w:r>
      <w:r>
        <w:t xml:space="preserve">effect of each smoother on its own output. We did not run the full oref0 dose engine downstream of each smoother; we cannot say whether the SID-event-count reductions under the adaptive smoothers (≈ 65 % under AAPS Exponential, ≈ 34 % under the UKF, both relative to AAPS Average) would translate to fewer or more clinical hypo/hyper events under closed-loop control. SID v6 is itself a research-grade detection layer maintained separately from production AAPS / oref0.</w:t>
      </w:r>
    </w:p>
    <w:p>
      <w:pPr>
        <w:pStyle w:val="Compact"/>
        <w:numPr>
          <w:ilvl w:val="0"/>
          <w:numId w:val="1006"/>
        </w:numPr>
      </w:pPr>
      <w:r>
        <w:t xml:space="preserve">The AAPS Exponential and UKF window sizes (24 and 36 readings) are taken from the upstream code; they could be tuned per user but were not.</w:t>
      </w:r>
    </w:p>
    <w:p>
      <w:pPr>
        <w:pStyle w:val="Compact"/>
        <w:numPr>
          <w:ilvl w:val="0"/>
          <w:numId w:val="1006"/>
        </w:numPr>
      </w:pPr>
      <w:r>
        <w:t xml:space="preserve">The UKF parameterisation comes from a development branch. The algorithm has not yet shipped in a stable AAPS release at the time of writing.</w:t>
      </w:r>
    </w:p>
    <w:p>
      <w:pPr>
        <w:pStyle w:val="Compact"/>
        <w:numPr>
          <w:ilvl w:val="0"/>
          <w:numId w:val="1006"/>
        </w:numPr>
      </w:pPr>
      <w:r>
        <w:t xml:space="preserve">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w:t>
      </w:r>
      <w:r>
        <w:t xml:space="preserve"> </w:t>
      </w:r>
      <w:r>
        <w:rPr>
          <w:i/>
          <w:iCs/>
        </w:rPr>
        <w:t xml:space="preserve">not</w:t>
      </w:r>
      <w:r>
        <w:t xml:space="preserve"> </w:t>
      </w:r>
      <w:r>
        <w:t xml:space="preserve">what a long-running stateful filter would look like.</w:t>
      </w:r>
    </w:p>
    <w:bookmarkEnd w:id="27"/>
    <w:bookmarkStart w:id="28" w:name="reproducibility"/>
    <w:p>
      <w:pPr>
        <w:pStyle w:val="Heading3"/>
      </w:pPr>
      <w:r>
        <w:t xml:space="preserve">4.5 Reproducibility</w:t>
      </w:r>
    </w:p>
    <w:p>
      <w:pPr>
        <w:pStyle w:val="FirstParagraph"/>
      </w:pPr>
      <w:r>
        <w:t xml:space="preserve">The full pipeline — Kotlin reference compile, Python ports, parity tests, cohort backtest, per-user metrics, cross-smoother statistics, SID re-detection — is reproducible from the repository:</w:t>
      </w:r>
    </w:p>
    <w:p>
      <w:pPr>
        <w:pStyle w:val="SourceCode"/>
      </w:pPr>
      <w:r>
        <w:rPr>
          <w:rStyle w:val="VerbatimChar"/>
        </w:rPr>
        <w:t xml:space="preserve">gradle -p backtest/reference/kotlin_driver run \</w:t>
      </w:r>
      <w:r>
        <w:br/>
      </w:r>
      <w:r>
        <w:rPr>
          <w:rStyle w:val="VerbatimChar"/>
        </w:rPr>
        <w:t xml:space="preserve">    --args='backtest/tests/fixtures/inputs.json backtest/tests/fixtures/kotlin/'</w:t>
      </w:r>
      <w:r>
        <w:br/>
      </w:r>
      <w:r>
        <w:rPr>
          <w:rStyle w:val="VerbatimChar"/>
        </w:rPr>
        <w:t xml:space="preserve">pytest backtest/tests/                              # 15 parity tests</w:t>
      </w:r>
      <w:r>
        <w:br/>
      </w:r>
      <w:r>
        <w:rPr>
          <w:rStyle w:val="VerbatimChar"/>
        </w:rPr>
        <w:t xml:space="preserve">python3 -m backtest.cli.run_backtest --days 90      # 19 users × 3 smoothers, online mode</w:t>
      </w:r>
      <w:r>
        <w:br/>
      </w:r>
      <w:r>
        <w:rPr>
          <w:rStyle w:val="VerbatimChar"/>
        </w:rPr>
        <w:t xml:space="preserve">python3 -m backtest.cli.compare                     # per-user metrics</w:t>
      </w:r>
      <w:r>
        <w:br/>
      </w:r>
      <w:r>
        <w:rPr>
          <w:rStyle w:val="VerbatimChar"/>
        </w:rPr>
        <w:t xml:space="preserve">python3 -m backtest.cli.cross_smoother              # Wilcoxon</w:t>
      </w:r>
      <w:r>
        <w:br/>
      </w:r>
      <w:r>
        <w:rPr>
          <w:rStyle w:val="VerbatimChar"/>
        </w:rPr>
        <w:t xml:space="preserve">python3 -m backtest.cli.spectral                    # transfer-function PSDs</w:t>
      </w:r>
      <w:r>
        <w:br/>
      </w:r>
      <w:r>
        <w:rPr>
          <w:rStyle w:val="VerbatimChar"/>
        </w:rPr>
        <w:t xml:space="preserve">python3 -m backtest.cli.per_step_modify             # per-stage decomposition</w:t>
      </w:r>
      <w:r>
        <w:br/>
      </w:r>
      <w:r>
        <w:rPr>
          <w:rStyle w:val="VerbatimChar"/>
        </w:rPr>
        <w:t xml:space="preserve">python3 -m backtest.cli.sid_redetect                # SID survival vs smoother</w:t>
      </w:r>
    </w:p>
    <w:p>
      <w:pPr>
        <w:pStyle w:val="FirstParagraph"/>
      </w:pPr>
      <w:r>
        <w:t xml:space="preserve">All Parquet traces, per-user CSVs, and figures referenced in this paper are in</w:t>
      </w:r>
      <w:r>
        <w:t xml:space="preserve"> </w:t>
      </w:r>
      <w:r>
        <w:rPr>
          <w:rStyle w:val="VerbatimChar"/>
        </w:rPr>
        <w:t xml:space="preserve">runs/</w:t>
      </w:r>
      <w:r>
        <w:t xml:space="preserve"> </w:t>
      </w:r>
      <w:r>
        <w:t xml:space="preserve">and</w:t>
      </w:r>
      <w:r>
        <w:t xml:space="preserve"> </w:t>
      </w:r>
      <w:r>
        <w:rPr>
          <w:rStyle w:val="VerbatimChar"/>
        </w:rPr>
        <w:t xml:space="preserve">reports/</w:t>
      </w:r>
      <w:r>
        <w:t xml:space="preserve">.</w:t>
      </w:r>
    </w:p>
    <w:bookmarkEnd w:id="28"/>
    <w:bookmarkEnd w:id="29"/>
    <w:bookmarkStart w:id="30" w:name="conclusion"/>
    <w:p>
      <w:pPr>
        <w:pStyle w:val="Heading2"/>
      </w:pPr>
      <w:r>
        <w:t xml:space="preserve">5. Conclusion</w:t>
      </w:r>
    </w:p>
    <w:p>
      <w:pPr>
        <w:pStyle w:val="FirstParagraph"/>
      </w:pPr>
      <w:r>
        <w:t xml:space="preserve">The signal-level evidence from this 19-user, 90-day production-realistic evaluation supports adding the Adaptive UKF to AAPS and Trio as a user-selectable alternative to AAPS Exponential.</w:t>
      </w:r>
    </w:p>
    <w:p>
      <w:pPr>
        <w:pStyle w:val="BodyText"/>
      </w:pPr>
      <w:r>
        <w:t xml:space="preserve">The UKF reduces step-to-step noise by 18% at a phase delay of 0.85 minutes. AAPS Exponential reduces noise by 16% at 1.7 minutes of phase delay — roughly twice the lag at slightly less noise reduction. The UKF preserves 96.6% of raw low-glucose events at the leading edge versus 92.9% for AAPS Exponential, absorbs 38% of large single-reading outliers versus 30%, and on a per-user paired comparison achieves at least as much noise reduction at smaller phase delay for 14 of 19 users. Its RTS backward sweep contributes nothing to the current-reading value the dose engine acts on (RTS by construction does not modify the leading edge); its effect is on the historical curve. Neither adaptive smoother dampens real multi-hour glucose dynamics (signal-band attenuation ≈ 1.03 for both, consistent with no real-trend suppression).</w:t>
      </w:r>
    </w:p>
    <w:p>
      <w:pPr>
        <w:pStyle w:val="BodyText"/>
      </w:pPr>
      <w:r>
        <w:t xml:space="preserve">The one metric where AAPS Exponential outperforms the UKF — sensor-integrity alert count (1 259 versus 2 416) — is a consequence of AAPS Exponential’s larger phase lag causing the smoothed trace to follow genuine glucose excursions more loosely, which reduces how often a sustained deviation triggers an alert. Whether this means fewer false alarms or more missed real problems depends on ground-truth labels not available in this dataset. It does not, by itself, argue against the UKF.</w:t>
      </w:r>
    </w:p>
    <w:p>
      <w:pPr>
        <w:pStyle w:val="BodyText"/>
      </w:pPr>
      <w:r>
        <w:t xml:space="preserve">AAPS Average is a no-op at the current reading at decision time and is not a meaningful alternative to the adaptive smoothers for the dose-engine glucose value; its role is cleaning the historical curve and damping slope calculations.</w:t>
      </w:r>
    </w:p>
    <w:p>
      <w:pPr>
        <w:pStyle w:val="BodyText"/>
      </w:pPr>
      <w:r>
        <w:t xml:space="preserve">The appropriate next step is to run the full oref0 dose engine downstream of each smoother on this cohort and compare the resulting insulin delivery decisions. Signal metrics are plausible proxies for clinical relevance; dose-level comparison is the direct test. The UKF parameter set should be finalised before a stable release. The full pipeline is reproducible from the repository.</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2026-05-03T15:52:41Z</dcterms:created>
  <dcterms:modified xsi:type="dcterms:W3CDTF">2026-05-03T15:52:41Z</dcterms:modified>
</cp:coreProperties>
</file>

<file path=docProps/custom.xml><?xml version="1.0" encoding="utf-8"?>
<Properties xmlns="http://schemas.openxmlformats.org/officeDocument/2006/custom-properties" xmlns:vt="http://schemas.openxmlformats.org/officeDocument/2006/docPropsVTypes"/>
</file>