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1b1bca9dec88464b6616f9681e61bcf3d3f90e9"/>
    <w:p>
      <w:pPr>
        <w:pStyle w:val="Heading1"/>
      </w:pPr>
      <w:r>
        <w:t xml:space="preserve">Dynamic ISF — can sensitivity be derived from data? (feasibility findings)</w:t>
      </w:r>
    </w:p>
    <w:p>
      <w:pPr>
        <w:pStyle w:val="FirstParagraph"/>
      </w:pPr>
      <w:r>
        <w:rPr>
          <w:b/>
          <w:bCs/>
        </w:rPr>
        <w:t xml:space="preserve">2026-06-07</w:t>
      </w:r>
      <w:r>
        <w:t xml:space="preserve"> </w:t>
      </w:r>
      <w:r>
        <w:t xml:space="preserve">· Tim Street / Claude · companion to the methodology and v1/v2 analysis</w:t>
      </w:r>
    </w:p>
    <w:p>
      <w:r>
        <w:pict>
          <v:rect style="width:0;height:1.5pt" o:hralign="center" o:hrstd="t" o:hr="t"/>
        </w:pict>
      </w:r>
    </w:p>
    <w:bookmarkStart w:id="9" w:name="question"/>
    <w:p>
      <w:pPr>
        <w:pStyle w:val="Heading2"/>
      </w:pPr>
      <w:r>
        <w:t xml:space="preserve">Question</w:t>
      </w:r>
    </w:p>
    <w:p>
      <w:pPr>
        <w:pStyle w:val="FirstParagraph"/>
      </w:pPr>
      <w:r>
        <w:t xml:space="preserve">Can a user’s insulin sensitivity (ISF) be derived from device-observable data well enough to</w:t>
      </w:r>
      <w:r>
        <w:t xml:space="preserve"> </w:t>
      </w:r>
      <w:r>
        <w:t xml:space="preserve">remove the need to enter it — and, if so, how? This summarises a six-phase feasibility study</w:t>
      </w:r>
      <w:r>
        <w:t xml:space="preserve"> </w:t>
      </w:r>
      <w:r>
        <w:t xml:space="preserve">on 138 open-source AID users (Trio, AAPS, OpenAPS), reusing the empirical-ISF ΔIOB estimator</w:t>
      </w:r>
      <w:r>
        <w:t xml:space="preserve"> </w:t>
      </w:r>
      <w:r>
        <w:t xml:space="preserve">and the √TDD law established in the equation-fit analysis.</w:t>
      </w:r>
    </w:p>
    <w:bookmarkEnd w:id="9"/>
    <w:bookmarkStart w:id="10" w:name="the-two-separable-parts-of-isf"/>
    <w:p>
      <w:pPr>
        <w:pStyle w:val="Heading2"/>
      </w:pPr>
      <w:r>
        <w:t xml:space="preserve">The two separable parts of ISF</w:t>
      </w:r>
    </w:p>
    <w:p>
      <w:pPr>
        <w:pStyle w:val="FirstParagraph"/>
      </w:pPr>
      <w:r>
        <w:t xml:space="preserve">ISF has a shape, meaning how it scales with TDD and glucose, and a per-user level. The two</w:t>
      </w:r>
      <w:r>
        <w:t xml:space="preserve"> </w:t>
      </w:r>
      <w:r>
        <w:t xml:space="preserve">behave very differently.</w:t>
      </w:r>
    </w:p>
    <w:p>
      <w:pPr>
        <w:pStyle w:val="BodyText"/>
      </w:pPr>
      <w:r>
        <w:t xml:space="preserve">The shape is derivable and settled. Sensitivity scales with total daily dose as roughly</w:t>
      </w:r>
      <w:r>
        <w:t xml:space="preserve"> </w:t>
      </w:r>
      <w:r>
        <w:t xml:space="preserve">1/√TDD, and that holds across users, with the glucose curve a separate dimension on top. The</w:t>
      </w:r>
      <w:r>
        <w:t xml:space="preserve"> </w:t>
      </w:r>
      <w:r>
        <w:t xml:space="preserve">shape needs no input from anyone.</w:t>
      </w:r>
    </w:p>
    <w:p>
      <w:pPr>
        <w:pStyle w:val="BodyText"/>
      </w:pPr>
      <w:r>
        <w:t xml:space="preserve">The level is the hard part, and the subject of this study. A single global level leaves the</w:t>
      </w:r>
      <w:r>
        <w:t xml:space="preserve"> </w:t>
      </w:r>
      <w:r>
        <w:t xml:space="preserve">typical person about 57% off, so the question is whether the per-user level can be recovered</w:t>
      </w:r>
      <w:r>
        <w:t xml:space="preserve"> </w:t>
      </w:r>
      <w:r>
        <w:t xml:space="preserve">from data rather than entered.</w:t>
      </w:r>
    </w:p>
    <w:bookmarkEnd w:id="10"/>
    <w:bookmarkStart w:id="11" w:name="the-feasibility-arc-phases-16"/>
    <w:p>
      <w:pPr>
        <w:pStyle w:val="Heading2"/>
      </w:pPr>
      <w:r>
        <w:t xml:space="preserve">The feasibility arc (Phases 1–6)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Is a short-window empirical ISF dosing-grade?</w:t>
            </w:r>
          </w:p>
        </w:tc>
        <w:tc>
          <w:tcPr/>
          <w:p>
            <w:pPr>
              <w:pStyle w:val="Compact"/>
            </w:pPr>
            <w:r>
              <w:t xml:space="preserve">No. ±10% CI only at 60–90 d; a 14-day estimate swings</w:t>
            </w:r>
            <w:r>
              <w:t xml:space="preserve"> </w:t>
            </w:r>
            <w:r>
              <w:rPr>
                <w:b/>
                <w:bCs/>
              </w:rPr>
              <w:t xml:space="preserve">±34%</w:t>
            </w:r>
            <w:r>
              <w:t xml:space="preserve"> </w:t>
            </w:r>
            <w:r>
              <w:t xml:space="preserve">block-to-block,</w:t>
            </w:r>
            <w:r>
              <w:t xml:space="preserve"> </w:t>
            </w:r>
            <w:r>
              <w:rPr>
                <w:b/>
                <w:bCs/>
              </w:rPr>
              <w:t xml:space="preserve">memoryless</w:t>
            </w:r>
            <w:r>
              <w:t xml:space="preserve"> </w:t>
            </w:r>
            <w:r>
              <w:t xml:space="preserve">(lag-1 ACF ≈ 0).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Is the variation trackable structure?</w:t>
            </w:r>
          </w:p>
        </w:tc>
        <w:tc>
          <w:tcPr/>
          <w:p>
            <w:pPr>
              <w:pStyle w:val="Compact"/>
            </w:pPr>
            <w:r>
              <w:t xml:space="preserve">Mostly not. Circadian ~2–4%, weekly ~1%, slow ~2%;</w:t>
            </w:r>
            <w:r>
              <w:t xml:space="preserve"> </w:t>
            </w:r>
            <w:r>
              <w:rPr>
                <w:b/>
                <w:bCs/>
              </w:rPr>
              <w:t xml:space="preserve">~90% residual, near-white</w:t>
            </w:r>
            <w:r>
              <w:t xml:space="preserve">, partly measurement noise.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Can a stable baseline be recovered by shrinkage?</w:t>
            </w:r>
          </w:p>
        </w:tc>
        <w:tc>
          <w:tcPr/>
          <w:p>
            <w:pPr>
              <w:pStyle w:val="Compact"/>
            </w:pPr>
            <w:r>
              <w:t xml:space="preserve">Yes, in self-consistency terms: cold-start ±42%; shrinking own-data toward the √TDD prior →</w:t>
            </w:r>
            <w:r>
              <w:t xml:space="preserve"> </w:t>
            </w:r>
            <w:r>
              <w:rPr>
                <w:b/>
                <w:bCs/>
              </w:rPr>
              <w:t xml:space="preserve">±22% (14 d) → ±13% (90 d)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Does the derived (sensitivity-anchored) level beat tuned ISF on real outcomes?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and it’s unsafe.</w:t>
            </w:r>
            <w:r>
              <w:t xml:space="preserve"> </w:t>
            </w:r>
            <w:r>
              <w:t xml:space="preserve">Users dosing far</w:t>
            </w:r>
            <w:r>
              <w:t xml:space="preserve"> </w:t>
            </w:r>
            <w:r>
              <w:t xml:space="preserve">“weaker”</w:t>
            </w:r>
            <w:r>
              <w:t xml:space="preserve"> </w:t>
            </w:r>
            <w:r>
              <w:t xml:space="preserve">than their measured sensitivity have</w:t>
            </w:r>
            <w:r>
              <w:t xml:space="preserve"> </w:t>
            </w:r>
            <w:r>
              <w:rPr>
                <w:b/>
                <w:bCs/>
              </w:rPr>
              <w:t xml:space="preserve">more</w:t>
            </w:r>
            <w:r>
              <w:t xml:space="preserve"> </w:t>
            </w:r>
            <w:r>
              <w:t xml:space="preserve">hypoglycaemia, not less (logR-vs-TBR</w:t>
            </w:r>
            <w:r>
              <w:t xml:space="preserve"> </w:t>
            </w:r>
            <w:r>
              <w:rPr>
                <w:b/>
                <w:bCs/>
              </w:rPr>
              <w:t xml:space="preserve">+0.38</w:t>
            </w:r>
            <w:r>
              <w:t xml:space="preserve">). The empirical ISF is hypo-biased.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Does overnight data de-bias the sensitivity estimate?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Overnight is noisier (±50% test-retest) and carries the</w:t>
            </w:r>
            <w:r>
              <w:t xml:space="preserve"> </w:t>
            </w:r>
            <w:r>
              <w:rPr>
                <w:b/>
                <w:bCs/>
              </w:rPr>
              <w:t xml:space="preserve">same</w:t>
            </w:r>
            <w:r>
              <w:t xml:space="preserve"> </w:t>
            </w:r>
            <w:r>
              <w:t xml:space="preserve">bias (+0.39). The bias is intrinsic to observational sensitivity, not a daytime artefact.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Can outcome-based tuning give a safe per-user level?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Yes, in principle.</w:t>
            </w:r>
            <w:r>
              <w:t xml:space="preserve"> </w:t>
            </w:r>
            <w:r>
              <w:t xml:space="preserve">Working-anchored cold start (355/√TDD) lands</w:t>
            </w:r>
            <w:r>
              <w:t xml:space="preserve"> </w:t>
            </w:r>
            <w:r>
              <w:rPr>
                <w:b/>
                <w:bCs/>
              </w:rPr>
              <w:t xml:space="preserve">±28% of the users’ tuned ISF</w:t>
            </w:r>
            <w:r>
              <w:t xml:space="preserve"> </w:t>
            </w:r>
            <w:r>
              <w:t xml:space="preserve">with no entry; a bounded outcome nudge removes the residual hypo-signature (logR-vs-TBR +0.21 →</w:t>
            </w:r>
            <w:r>
              <w:t xml:space="preserve"> </w:t>
            </w:r>
            <w:r>
              <w:rPr>
                <w:b/>
                <w:bCs/>
              </w:rPr>
              <w:t xml:space="preserve">−0.04</w:t>
            </w:r>
            <w:r>
              <w:t xml:space="preserve">) where the sensitivity route made it worse (+0.38).</w:t>
            </w:r>
          </w:p>
        </w:tc>
      </w:tr>
    </w:tbl>
    <w:bookmarkEnd w:id="11"/>
    <w:bookmarkStart w:id="12" w:name="what-this-settles"/>
    <w:p>
      <w:pPr>
        <w:pStyle w:val="Heading2"/>
      </w:pPr>
      <w:r>
        <w:t xml:space="preserve">What this settles</w:t>
      </w:r>
    </w:p>
    <w:p>
      <w:pPr>
        <w:numPr>
          <w:ilvl w:val="0"/>
          <w:numId w:val="1001"/>
        </w:numPr>
      </w:pPr>
      <w:r>
        <w:t xml:space="preserve">The √TDD shape is derivable and needs no entry. Anchored to working (tuned) profiles the</w:t>
      </w:r>
      <w:r>
        <w:t xml:space="preserve"> </w:t>
      </w:r>
      <w:r>
        <w:t xml:space="preserve">constant is K ≈ 355 (ISF ≈ 355/√TDD); anchored to measured sensitivity it is ≈ 145. Since</w:t>
      </w:r>
      <w:r>
        <w:t xml:space="preserve"> </w:t>
      </w:r>
      <w:r>
        <w:t xml:space="preserve">Phases 5 and 6 show the measured anchor is unsafe, the working-anchored 355 is the right</w:t>
      </w:r>
      <w:r>
        <w:t xml:space="preserve"> </w:t>
      </w:r>
      <w:r>
        <w:t xml:space="preserve">cold start.</w:t>
      </w:r>
    </w:p>
    <w:p>
      <w:pPr>
        <w:numPr>
          <w:ilvl w:val="0"/>
          <w:numId w:val="1001"/>
        </w:numPr>
      </w:pPr>
      <w:r>
        <w:t xml:space="preserve">A zero-entry cold start is feasible and reasonably good. From observable TDD alone,</w:t>
      </w:r>
      <w:r>
        <w:t xml:space="preserve"> </w:t>
      </w:r>
      <w:r>
        <w:t xml:space="preserve">ISF ≈ 355/√TDD places a brand-new user within ±28% of the value they would have tuned to</w:t>
      </w:r>
      <w:r>
        <w:t xml:space="preserve"> </w:t>
      </w:r>
      <w:r>
        <w:t xml:space="preserve">(Phase 7). Against the measured empirical baseline the figure is ±42%, but that baseline is</w:t>
      </w:r>
      <w:r>
        <w:t xml:space="preserve"> </w:t>
      </w:r>
      <w:r>
        <w:t xml:space="preserve">the hypo-biased one, so the working-ISF comparison is the number that matters for deployment.</w:t>
      </w:r>
    </w:p>
    <w:p>
      <w:pPr>
        <w:numPr>
          <w:ilvl w:val="0"/>
          <w:numId w:val="1001"/>
        </w:numPr>
      </w:pPr>
      <w:r>
        <w:t xml:space="preserve">The per-user level cannot be safely derived from observed sensitivity, in any window. The</w:t>
      </w:r>
      <w:r>
        <w:t xml:space="preserve"> </w:t>
      </w:r>
      <w:r>
        <w:t xml:space="preserve">ΔIOB sensitivity estimate is entangled with the user’s existing insulin excess or deficit:</w:t>
      </w:r>
      <w:r>
        <w:t xml:space="preserve"> </w:t>
      </w:r>
      <w:r>
        <w:t xml:space="preserve">it reads as</w:t>
      </w:r>
      <w:r>
        <w:t xml:space="preserve"> </w:t>
      </w:r>
      <w:r>
        <w:t xml:space="preserve">“very sensitive”</w:t>
      </w:r>
      <w:r>
        <w:t xml:space="preserve"> </w:t>
      </w:r>
      <w:r>
        <w:t xml:space="preserve">(low ISF) precisely for people who run low, so dosing to it</w:t>
      </w:r>
      <w:r>
        <w:t xml:space="preserve"> </w:t>
      </w:r>
      <w:r>
        <w:t xml:space="preserve">would give the most insulin to the most hypo-prone. Restricting to clean overnight data does</w:t>
      </w:r>
      <w:r>
        <w:t xml:space="preserve"> </w:t>
      </w:r>
      <w:r>
        <w:t xml:space="preserve">not fix this. It is intrinsic to measuring sensitivity from observational glucose against</w:t>
      </w:r>
      <w:r>
        <w:t xml:space="preserve"> </w:t>
      </w:r>
      <w:r>
        <w:t xml:space="preserve">insulin.</w:t>
      </w:r>
    </w:p>
    <w:p>
      <w:pPr>
        <w:numPr>
          <w:ilvl w:val="0"/>
          <w:numId w:val="1001"/>
        </w:numPr>
      </w:pPr>
      <w:r>
        <w:t xml:space="preserve">Beyond a stable baseline there is little left to track for correction ISF (Phase 2). The</w:t>
      </w:r>
      <w:r>
        <w:t xml:space="preserve"> </w:t>
      </w:r>
      <w:r>
        <w:t xml:space="preserve">right architecture is therefore not an elaborate adaptive ISF but a stable baseline plus the</w:t>
      </w:r>
      <w:r>
        <w:t xml:space="preserve"> </w:t>
      </w:r>
      <w:r>
        <w:t xml:space="preserve">√TDD demand-track, with autosens covering the bounded sub-daily and safety role it already</w:t>
      </w:r>
      <w:r>
        <w:t xml:space="preserve"> </w:t>
      </w:r>
      <w:r>
        <w:t xml:space="preserve">serves.</w:t>
      </w:r>
    </w:p>
    <w:bookmarkEnd w:id="12"/>
    <w:bookmarkStart w:id="13" w:name="the-constructive-conclusion"/>
    <w:p>
      <w:pPr>
        <w:pStyle w:val="Heading2"/>
      </w:pPr>
      <w:r>
        <w:t xml:space="preserve">The constructive conclusion</w:t>
      </w:r>
    </w:p>
    <w:p>
      <w:pPr>
        <w:pStyle w:val="FirstParagraph"/>
      </w:pPr>
      <w:r>
        <w:t xml:space="preserve">A data-derived, zero-entry ISF is feasible</w:t>
      </w:r>
      <w:r>
        <w:t xml:space="preserve"> </w:t>
      </w:r>
      <w:r>
        <w:rPr>
          <w:b/>
          <w:bCs/>
        </w:rPr>
        <w:t xml:space="preserve">only in this form</w:t>
      </w:r>
      <w:r>
        <w:t xml:space="preserve">:</w:t>
      </w:r>
    </w:p>
    <w:p>
      <w:pPr>
        <w:pStyle w:val="BlockText"/>
      </w:pPr>
      <w:r>
        <w:rPr>
          <w:b/>
          <w:bCs/>
        </w:rPr>
        <w:t xml:space="preserve">√TDD shape (universal) + working-anchored cold start (≈ 355/√TDD, ±42%, no entry) +</w:t>
      </w:r>
      <w:r>
        <w:rPr>
          <w:b/>
          <w:bCs/>
        </w:rPr>
        <w:t xml:space="preserve"> </w:t>
      </w:r>
      <w:r>
        <w:rPr>
          <w:b/>
          <w:bCs/>
        </w:rPr>
        <w:t xml:space="preserve">bounded outcome-based self-tuning of the level</w:t>
      </w:r>
      <w:r>
        <w:t xml:space="preserve"> </w:t>
      </w:r>
      <w:r>
        <w:t xml:space="preserve">— nudging ISF weaker when unexplained lows</w:t>
      </w:r>
      <w:r>
        <w:t xml:space="preserve"> </w:t>
      </w:r>
      <w:r>
        <w:t xml:space="preserve">appear and stronger when sustained unexplained highs appear, damped and clamped.</w:t>
      </w:r>
    </w:p>
    <w:p>
      <w:pPr>
        <w:pStyle w:val="FirstParagraph"/>
      </w:pPr>
      <w:r>
        <w:t xml:space="preserve">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feasible as</w:t>
      </w:r>
      <w:r>
        <w:t xml:space="preserve"> </w:t>
      </w:r>
      <w:r>
        <w:t xml:space="preserve">“measure the user’s sensitivity and dose to it”</w:t>
      </w:r>
      <w:r>
        <w:t xml:space="preserve"> </w:t>
      </w:r>
      <w:r>
        <w:t xml:space="preserve">— that route is</w:t>
      </w:r>
      <w:r>
        <w:t xml:space="preserve"> </w:t>
      </w:r>
      <w:r>
        <w:t xml:space="preserve">hypo-biased regardless of how clean the window is. The level must be tuned from</w:t>
      </w:r>
      <w:r>
        <w:t xml:space="preserve"> </w:t>
      </w:r>
      <w:r>
        <w:rPr>
          <w:b/>
          <w:bCs/>
        </w:rPr>
        <w:t xml:space="preserve">outcomes</w:t>
      </w:r>
      <w:r>
        <w:t xml:space="preserve"> </w:t>
      </w:r>
      <w:r>
        <w:t xml:space="preserve">(the autotune/autosens philosophy), not from a sensitivity regression. That is the autotune</w:t>
      </w:r>
      <w:r>
        <w:t xml:space="preserve"> </w:t>
      </w:r>
      <w:r>
        <w:t xml:space="preserve">design, now empirically explained: it is built on the human-tuned anchor and outcome-attribution</w:t>
      </w:r>
      <w:r>
        <w:t xml:space="preserve"> </w:t>
      </w:r>
      <w:r>
        <w:t xml:space="preserve">precisely because the measurement route fails.</w:t>
      </w:r>
    </w:p>
    <w:bookmarkEnd w:id="13"/>
    <w:bookmarkStart w:id="14" w:name="caveats"/>
    <w:p>
      <w:pPr>
        <w:pStyle w:val="Heading2"/>
      </w:pPr>
      <w:r>
        <w:t xml:space="preserve">Caveats</w:t>
      </w:r>
    </w:p>
    <w:p>
      <w:pPr>
        <w:pStyle w:val="FirstParagraph"/>
      </w:pPr>
      <w:r>
        <w:t xml:space="preserve">Decision-level and observational (no closed-loop simulation); single cohort, mostly users who</w:t>
      </w:r>
      <w:r>
        <w:t xml:space="preserve"> </w:t>
      </w:r>
      <w:r>
        <w:t xml:space="preserve">never ran dynamic ISF; the empirical estimator carries carb/endogenous-glucose confounds;</w:t>
      </w:r>
      <w:r>
        <w:t xml:space="preserve"> </w:t>
      </w:r>
      <w:r>
        <w:t xml:space="preserve">“level”</w:t>
      </w:r>
      <w:r>
        <w:t xml:space="preserve"> </w:t>
      </w:r>
      <w:r>
        <w:t xml:space="preserve">errors in Phase 3 are self-consistency, not outcome-validated correctness. A closed-loop trial is</w:t>
      </w:r>
      <w:r>
        <w:t xml:space="preserve"> </w:t>
      </w:r>
      <w:r>
        <w:t xml:space="preserve">required before any of this drives dosing. Nothing here is medical advice.</w:t>
      </w:r>
    </w:p>
    <w:bookmarkEnd w:id="14"/>
    <w:bookmarkStart w:id="15" w:name="reproducibility"/>
    <w:p>
      <w:pPr>
        <w:pStyle w:val="Heading2"/>
      </w:pPr>
      <w:r>
        <w:t xml:space="preserve">Reproducibility</w:t>
      </w:r>
    </w:p>
    <w:p>
      <w:pPr>
        <w:pStyle w:val="FirstParagraph"/>
      </w:pPr>
      <w:r>
        <w:rPr>
          <w:rStyle w:val="VerbatimChar"/>
        </w:rPr>
        <w:t xml:space="preserve">inv008/phase{1,2,3,5,6}_*.py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results/phase*_*.{json,md}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github.com/tim2000s/dynamic-isf-calculations</w:t>
      </w:r>
      <w:r>
        <w:t xml:space="preserve">. Inputs device-observable; the user’s profile ISF</w:t>
      </w:r>
      <w:r>
        <w:t xml:space="preserve"> </w:t>
      </w:r>
      <w:r>
        <w:t xml:space="preserve">is used as a benchmark only.</w:t>
      </w:r>
    </w:p>
    <w:bookmarkEnd w:id="15"/>
    <w:bookmarkStart w:id="16" w:name="Xd2d15b1271ed3be1504e0f3d35a205d248773b4"/>
    <w:p>
      <w:pPr>
        <w:pStyle w:val="Heading2"/>
      </w:pPr>
      <w:r>
        <w:t xml:space="preserve">Addendum, 27 August 2026: replication on independent data</w:t>
      </w:r>
    </w:p>
    <w:p>
      <w:pPr>
        <w:pStyle w:val="FirstParagraph"/>
      </w:pPr>
      <w:r>
        <w:t xml:space="preserve">Phases 5 and 6 above concluded that observational sensitivity is biased low, that</w:t>
      </w:r>
      <w:r>
        <w:t xml:space="preserve"> </w:t>
      </w:r>
      <w:r>
        <w:t xml:space="preserve">dosing to it is unsafe, and that the bias is intrinsic rather than a daytime</w:t>
      </w:r>
      <w:r>
        <w:t xml:space="preserve"> </w:t>
      </w:r>
      <w:r>
        <w:t xml:space="preserve">artefact. Those conclusions rested on 138 users of open-source systems with</w:t>
      </w:r>
      <w:r>
        <w:t xml:space="preserve"> </w:t>
      </w:r>
      <w:r>
        <w:t xml:space="preserve">insulin on board taken from the loop’s own record.</w:t>
      </w:r>
    </w:p>
    <w:p>
      <w:pPr>
        <w:pStyle w:val="BodyText"/>
      </w:pPr>
      <w:r>
        <w:t xml:space="preserve">They have since been tested on 1,679 people across six Jaeb trial cohorts, ages 2</w:t>
      </w:r>
      <w:r>
        <w:t xml:space="preserve"> </w:t>
      </w:r>
      <w:r>
        <w:t xml:space="preserve">to 82, with insulin on board reconstructed from delivery records rather than</w:t>
      </w:r>
      <w:r>
        <w:t xml:space="preserve"> </w:t>
      </w:r>
      <w:r>
        <w:t xml:space="preserve">reported, and using four different constructions of the estimator. The ratio of</w:t>
      </w:r>
      <w:r>
        <w:t xml:space="preserve"> </w:t>
      </w:r>
      <w:r>
        <w:t xml:space="preserve">measured to entered sensitivity ranges from 0.30 to 0.92 with a median of 0.58,</w:t>
      </w:r>
      <w:r>
        <w:t xml:space="preserve"> </w:t>
      </w:r>
      <w:r>
        <w:t xml:space="preserve">and in fifteen estimates it does not once reach 1.0. The K = 145 against 355</w:t>
      </w:r>
      <w:r>
        <w:t xml:space="preserve"> </w:t>
      </w:r>
      <w:r>
        <w:t xml:space="preserve">reported here corresponds to a ratio of 0.41 and sits inside that range.</w:t>
      </w:r>
    </w:p>
    <w:p>
      <w:pPr>
        <w:pStyle w:val="BodyText"/>
      </w:pPr>
      <w:r>
        <w:t xml:space="preserve">So the finding is not a property of this cohort, of open-source systems, or of how</w:t>
      </w:r>
      <w:r>
        <w:t xml:space="preserve"> </w:t>
      </w:r>
      <w:r>
        <w:t xml:space="preserve">insulin on board was obtained. See Dynamic-ISF-7.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2026-08-27T11:35:39Z</dcterms:created>
  <dcterms:modified xsi:type="dcterms:W3CDTF">2026-08-27T11:35:39Z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